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2603E" w14:textId="77777777" w:rsidR="00126CB1" w:rsidRDefault="00126CB1">
      <w:pPr>
        <w:jc w:val="center"/>
        <w:rPr>
          <w:rFonts w:ascii="宋体"/>
          <w:b/>
          <w:sz w:val="32"/>
          <w:szCs w:val="32"/>
        </w:rPr>
      </w:pPr>
    </w:p>
    <w:p w14:paraId="0835205E" w14:textId="77777777" w:rsidR="00126CB1" w:rsidRDefault="00126CB1">
      <w:pPr>
        <w:jc w:val="center"/>
        <w:rPr>
          <w:rFonts w:ascii="宋体"/>
          <w:b/>
          <w:sz w:val="32"/>
          <w:szCs w:val="32"/>
        </w:rPr>
      </w:pPr>
    </w:p>
    <w:p w14:paraId="04998C6B" w14:textId="77777777" w:rsidR="00126CB1" w:rsidRDefault="00126CB1">
      <w:pPr>
        <w:jc w:val="center"/>
        <w:rPr>
          <w:rFonts w:ascii="宋体"/>
          <w:b/>
          <w:sz w:val="32"/>
          <w:szCs w:val="32"/>
        </w:rPr>
      </w:pPr>
    </w:p>
    <w:p w14:paraId="0BC79490" w14:textId="77777777" w:rsidR="00126CB1" w:rsidRDefault="005D0D4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14:paraId="22F5D405" w14:textId="77777777" w:rsidR="00126CB1" w:rsidRDefault="005D0D4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《杏冷藏技术规程》</w:t>
      </w:r>
    </w:p>
    <w:p w14:paraId="7EDA810E" w14:textId="77777777" w:rsidR="00126CB1" w:rsidRDefault="005D0D44">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14:paraId="48267F98" w14:textId="77777777" w:rsidR="00126CB1" w:rsidRDefault="00126CB1">
      <w:pPr>
        <w:ind w:firstLineChars="200" w:firstLine="643"/>
        <w:rPr>
          <w:rFonts w:ascii="仿宋" w:eastAsia="仿宋" w:hAnsi="仿宋"/>
          <w:b/>
          <w:sz w:val="32"/>
          <w:szCs w:val="32"/>
        </w:rPr>
      </w:pPr>
    </w:p>
    <w:p w14:paraId="4B655D21" w14:textId="77777777" w:rsidR="00126CB1" w:rsidRDefault="00126CB1">
      <w:pPr>
        <w:ind w:firstLineChars="200" w:firstLine="643"/>
        <w:rPr>
          <w:rFonts w:ascii="仿宋" w:eastAsia="仿宋" w:hAnsi="仿宋"/>
          <w:b/>
          <w:sz w:val="32"/>
          <w:szCs w:val="32"/>
        </w:rPr>
      </w:pPr>
    </w:p>
    <w:p w14:paraId="1059ED91" w14:textId="77777777" w:rsidR="00126CB1" w:rsidRDefault="00126CB1">
      <w:pPr>
        <w:ind w:firstLineChars="200" w:firstLine="643"/>
        <w:rPr>
          <w:rFonts w:ascii="仿宋" w:eastAsia="仿宋" w:hAnsi="仿宋"/>
          <w:b/>
          <w:sz w:val="32"/>
          <w:szCs w:val="32"/>
        </w:rPr>
      </w:pPr>
    </w:p>
    <w:p w14:paraId="3C52C492" w14:textId="77777777" w:rsidR="00126CB1" w:rsidRDefault="00126CB1">
      <w:pPr>
        <w:ind w:firstLineChars="200" w:firstLine="643"/>
        <w:rPr>
          <w:rFonts w:ascii="仿宋" w:eastAsia="仿宋" w:hAnsi="仿宋"/>
          <w:b/>
          <w:sz w:val="32"/>
          <w:szCs w:val="32"/>
        </w:rPr>
      </w:pPr>
    </w:p>
    <w:p w14:paraId="2C112229" w14:textId="77777777" w:rsidR="00126CB1" w:rsidRDefault="00126CB1">
      <w:pPr>
        <w:ind w:firstLineChars="200" w:firstLine="643"/>
        <w:rPr>
          <w:rFonts w:ascii="仿宋" w:eastAsia="仿宋" w:hAnsi="仿宋"/>
          <w:b/>
          <w:sz w:val="32"/>
          <w:szCs w:val="32"/>
        </w:rPr>
      </w:pPr>
    </w:p>
    <w:p w14:paraId="418D83C9" w14:textId="77777777" w:rsidR="00126CB1" w:rsidRDefault="00126CB1">
      <w:pPr>
        <w:ind w:firstLineChars="200" w:firstLine="643"/>
        <w:rPr>
          <w:rFonts w:ascii="仿宋" w:eastAsia="仿宋" w:hAnsi="仿宋"/>
          <w:b/>
          <w:sz w:val="32"/>
          <w:szCs w:val="32"/>
        </w:rPr>
      </w:pPr>
    </w:p>
    <w:p w14:paraId="494B961E" w14:textId="77777777" w:rsidR="00126CB1" w:rsidRDefault="00126CB1">
      <w:pPr>
        <w:ind w:firstLineChars="200" w:firstLine="643"/>
        <w:rPr>
          <w:rFonts w:ascii="仿宋" w:eastAsia="仿宋" w:hAnsi="仿宋"/>
          <w:b/>
          <w:sz w:val="32"/>
          <w:szCs w:val="32"/>
        </w:rPr>
      </w:pPr>
    </w:p>
    <w:p w14:paraId="3984BEDC" w14:textId="77777777" w:rsidR="00126CB1" w:rsidRDefault="00126CB1">
      <w:pPr>
        <w:ind w:firstLineChars="200" w:firstLine="643"/>
        <w:jc w:val="center"/>
        <w:rPr>
          <w:rFonts w:ascii="仿宋" w:eastAsia="仿宋" w:hAnsi="仿宋"/>
          <w:b/>
          <w:sz w:val="32"/>
          <w:szCs w:val="32"/>
        </w:rPr>
      </w:pPr>
    </w:p>
    <w:p w14:paraId="693512C6" w14:textId="77777777" w:rsidR="00126CB1" w:rsidRDefault="00126CB1">
      <w:pPr>
        <w:ind w:firstLineChars="200" w:firstLine="643"/>
        <w:jc w:val="center"/>
        <w:rPr>
          <w:rFonts w:ascii="宋体"/>
          <w:b/>
          <w:sz w:val="32"/>
          <w:szCs w:val="32"/>
        </w:rPr>
      </w:pPr>
    </w:p>
    <w:p w14:paraId="18033EA9" w14:textId="77777777" w:rsidR="00126CB1" w:rsidRDefault="00126CB1">
      <w:pPr>
        <w:ind w:firstLineChars="200" w:firstLine="643"/>
        <w:jc w:val="center"/>
        <w:rPr>
          <w:rFonts w:ascii="宋体"/>
          <w:b/>
          <w:sz w:val="32"/>
          <w:szCs w:val="32"/>
        </w:rPr>
      </w:pPr>
    </w:p>
    <w:p w14:paraId="30654C2D" w14:textId="77777777" w:rsidR="00126CB1" w:rsidRDefault="00126CB1">
      <w:pPr>
        <w:ind w:firstLineChars="200" w:firstLine="643"/>
        <w:jc w:val="center"/>
        <w:rPr>
          <w:rFonts w:ascii="宋体"/>
          <w:b/>
          <w:sz w:val="32"/>
          <w:szCs w:val="32"/>
        </w:rPr>
      </w:pPr>
    </w:p>
    <w:p w14:paraId="5073FC8D" w14:textId="77777777" w:rsidR="00126CB1" w:rsidRDefault="005D0D44">
      <w:pPr>
        <w:spacing w:line="360" w:lineRule="auto"/>
        <w:jc w:val="center"/>
        <w:rPr>
          <w:rFonts w:ascii="宋体" w:hAnsi="宋体"/>
          <w:b/>
          <w:kern w:val="22"/>
          <w:sz w:val="32"/>
          <w:szCs w:val="32"/>
        </w:rPr>
      </w:pPr>
      <w:r>
        <w:rPr>
          <w:rFonts w:ascii="宋体" w:hAnsi="宋体" w:hint="eastAsia"/>
          <w:b/>
          <w:kern w:val="22"/>
          <w:sz w:val="32"/>
          <w:szCs w:val="32"/>
        </w:rPr>
        <w:t>编制单位：山西农业大学</w:t>
      </w:r>
    </w:p>
    <w:p w14:paraId="688C6CD9" w14:textId="77777777" w:rsidR="00126CB1" w:rsidRDefault="005D0D44">
      <w:pPr>
        <w:jc w:val="center"/>
        <w:rPr>
          <w:rFonts w:ascii="宋体" w:hAnsi="宋体"/>
          <w:b/>
          <w:sz w:val="32"/>
          <w:szCs w:val="32"/>
        </w:rPr>
      </w:pPr>
      <w:r>
        <w:rPr>
          <w:rFonts w:ascii="宋体" w:hAnsi="宋体" w:hint="eastAsia"/>
          <w:b/>
          <w:sz w:val="32"/>
          <w:szCs w:val="32"/>
        </w:rPr>
        <w:t xml:space="preserve"> 二〇二四年一月</w:t>
      </w:r>
    </w:p>
    <w:p w14:paraId="6949C67F" w14:textId="77777777" w:rsidR="00126CB1" w:rsidRDefault="00126CB1">
      <w:pPr>
        <w:jc w:val="center"/>
        <w:rPr>
          <w:rFonts w:ascii="宋体" w:hAnsi="宋体"/>
          <w:b/>
          <w:sz w:val="32"/>
          <w:szCs w:val="32"/>
        </w:rPr>
      </w:pPr>
    </w:p>
    <w:p w14:paraId="176AFFA5" w14:textId="77777777" w:rsidR="00126CB1" w:rsidRDefault="00126CB1">
      <w:pPr>
        <w:jc w:val="center"/>
        <w:rPr>
          <w:rFonts w:ascii="宋体" w:hAnsi="宋体"/>
          <w:b/>
          <w:sz w:val="32"/>
          <w:szCs w:val="32"/>
        </w:rPr>
      </w:pPr>
    </w:p>
    <w:p w14:paraId="7FA666F6" w14:textId="77777777" w:rsidR="00126CB1" w:rsidRDefault="00126CB1">
      <w:pPr>
        <w:jc w:val="center"/>
        <w:rPr>
          <w:rFonts w:ascii="宋体" w:hAnsi="宋体"/>
          <w:b/>
          <w:sz w:val="32"/>
          <w:szCs w:val="32"/>
        </w:rPr>
      </w:pPr>
    </w:p>
    <w:p w14:paraId="7ED40751" w14:textId="77777777" w:rsidR="00126CB1" w:rsidRDefault="005D0D44">
      <w:pPr>
        <w:spacing w:line="520" w:lineRule="exact"/>
        <w:jc w:val="center"/>
        <w:rPr>
          <w:rFonts w:ascii="宋体"/>
          <w:b/>
          <w:sz w:val="30"/>
          <w:szCs w:val="30"/>
        </w:rPr>
      </w:pPr>
      <w:r>
        <w:rPr>
          <w:rFonts w:ascii="宋体" w:hAnsi="宋体" w:hint="eastAsia"/>
          <w:b/>
          <w:sz w:val="30"/>
          <w:szCs w:val="30"/>
        </w:rPr>
        <w:lastRenderedPageBreak/>
        <w:t>山西省地方标准</w:t>
      </w:r>
    </w:p>
    <w:p w14:paraId="4DE15319" w14:textId="77777777" w:rsidR="00126CB1" w:rsidRDefault="005D0D44">
      <w:pPr>
        <w:spacing w:line="520" w:lineRule="exact"/>
        <w:jc w:val="center"/>
        <w:rPr>
          <w:rFonts w:ascii="宋体"/>
          <w:b/>
          <w:sz w:val="30"/>
          <w:szCs w:val="30"/>
        </w:rPr>
      </w:pPr>
      <w:r>
        <w:rPr>
          <w:rFonts w:ascii="宋体" w:hAnsi="宋体" w:hint="eastAsia"/>
          <w:b/>
          <w:sz w:val="30"/>
          <w:szCs w:val="30"/>
        </w:rPr>
        <w:t>《杏冷藏技术规程》</w:t>
      </w:r>
    </w:p>
    <w:p w14:paraId="71B059E4" w14:textId="77777777" w:rsidR="00126CB1" w:rsidRDefault="005D0D44">
      <w:pPr>
        <w:spacing w:line="520" w:lineRule="exact"/>
        <w:jc w:val="center"/>
        <w:rPr>
          <w:rFonts w:ascii="宋体" w:hAnsi="宋体"/>
          <w:b/>
          <w:sz w:val="30"/>
          <w:szCs w:val="30"/>
        </w:rPr>
      </w:pPr>
      <w:r>
        <w:rPr>
          <w:rFonts w:ascii="宋体" w:hAnsi="宋体" w:hint="eastAsia"/>
          <w:b/>
          <w:sz w:val="30"/>
          <w:szCs w:val="30"/>
        </w:rPr>
        <w:t>编制说明</w:t>
      </w:r>
    </w:p>
    <w:p w14:paraId="568A19D3" w14:textId="77777777" w:rsidR="00126CB1" w:rsidRDefault="00126CB1">
      <w:pPr>
        <w:spacing w:line="520" w:lineRule="exact"/>
        <w:jc w:val="center"/>
        <w:rPr>
          <w:rFonts w:ascii="宋体" w:hAnsi="宋体"/>
          <w:b/>
          <w:sz w:val="30"/>
          <w:szCs w:val="30"/>
        </w:rPr>
      </w:pPr>
    </w:p>
    <w:p w14:paraId="4FDD612A"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一、工作简况</w:t>
      </w:r>
    </w:p>
    <w:p w14:paraId="0D7664D3" w14:textId="77777777" w:rsidR="00126CB1" w:rsidRDefault="005D0D44">
      <w:pPr>
        <w:spacing w:line="360" w:lineRule="auto"/>
        <w:ind w:left="465"/>
        <w:outlineLvl w:val="1"/>
        <w:rPr>
          <w:rFonts w:ascii="楷体_GB2312" w:eastAsia="楷体_GB2312"/>
          <w:sz w:val="24"/>
        </w:rPr>
      </w:pPr>
      <w:r>
        <w:rPr>
          <w:rFonts w:ascii="楷体_GB2312" w:eastAsia="楷体_GB2312" w:hint="eastAsia"/>
          <w:sz w:val="24"/>
        </w:rPr>
        <w:t>1</w:t>
      </w:r>
      <w:r>
        <w:rPr>
          <w:rFonts w:ascii="楷体_GB2312" w:eastAsia="楷体_GB2312"/>
          <w:sz w:val="24"/>
        </w:rPr>
        <w:t xml:space="preserve"> </w:t>
      </w:r>
      <w:r>
        <w:rPr>
          <w:rFonts w:ascii="楷体_GB2312" w:eastAsia="楷体_GB2312" w:hint="eastAsia"/>
          <w:sz w:val="24"/>
        </w:rPr>
        <w:t>任务来源</w:t>
      </w:r>
    </w:p>
    <w:p w14:paraId="2A2CDC5C" w14:textId="77777777" w:rsidR="00126CB1" w:rsidRDefault="005D0D44">
      <w:pPr>
        <w:spacing w:line="360" w:lineRule="auto"/>
        <w:ind w:firstLineChars="200" w:firstLine="480"/>
        <w:outlineLvl w:val="1"/>
        <w:rPr>
          <w:rFonts w:ascii="仿宋_GB2312" w:eastAsia="仿宋_GB2312" w:hAnsi="宋体"/>
          <w:sz w:val="24"/>
        </w:rPr>
      </w:pPr>
      <w:r>
        <w:rPr>
          <w:rFonts w:ascii="仿宋_GB2312" w:eastAsia="仿宋_GB2312" w:hAnsi="宋体" w:hint="eastAsia"/>
          <w:sz w:val="24"/>
        </w:rPr>
        <w:t>按照山西省市场监督管理局关于2022年度省级地方标准复审结论公告（山西省地方标准公告2022年第20号），《杏冷藏技术规程》DB14/T 1380-2017被列入山西省地方标准修订计划，本标准由山西省农业标准化技术委员会（SXS/TC19）归口。</w:t>
      </w:r>
    </w:p>
    <w:p w14:paraId="24D374A5" w14:textId="77777777" w:rsidR="00126CB1" w:rsidRDefault="005D0D44">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14:paraId="2073EAF4" w14:textId="77777777" w:rsidR="00126CB1" w:rsidRDefault="005D0D44">
      <w:pPr>
        <w:spacing w:line="360" w:lineRule="auto"/>
        <w:ind w:firstLineChars="200" w:firstLine="480"/>
        <w:jc w:val="left"/>
        <w:outlineLvl w:val="1"/>
        <w:rPr>
          <w:rFonts w:ascii="仿宋_GB2312" w:eastAsia="仿宋_GB2312" w:hAnsi="宋体"/>
          <w:sz w:val="24"/>
        </w:rPr>
      </w:pPr>
      <w:r>
        <w:rPr>
          <w:rFonts w:ascii="仿宋_GB2312" w:eastAsia="仿宋_GB2312" w:hAnsi="宋体"/>
          <w:sz w:val="24"/>
        </w:rPr>
        <w:t>起草任务由</w:t>
      </w:r>
      <w:r>
        <w:rPr>
          <w:rFonts w:ascii="仿宋_GB2312" w:eastAsia="仿宋_GB2312" w:hAnsi="宋体" w:hint="eastAsia"/>
          <w:sz w:val="24"/>
        </w:rPr>
        <w:t>山西农业大学承担</w:t>
      </w:r>
      <w:r>
        <w:rPr>
          <w:rFonts w:ascii="仿宋_GB2312" w:eastAsia="仿宋_GB2312" w:hAnsi="宋体"/>
          <w:sz w:val="24"/>
        </w:rPr>
        <w:t>。</w:t>
      </w:r>
    </w:p>
    <w:p w14:paraId="33E7A15F" w14:textId="77777777" w:rsidR="00126CB1" w:rsidRDefault="005D0D44">
      <w:pPr>
        <w:spacing w:line="360" w:lineRule="auto"/>
        <w:ind w:firstLineChars="200" w:firstLine="480"/>
        <w:jc w:val="center"/>
        <w:outlineLvl w:val="1"/>
        <w:rPr>
          <w:rFonts w:ascii="仿宋_GB2312" w:eastAsia="仿宋_GB2312" w:hAnsi="宋体"/>
          <w:sz w:val="24"/>
        </w:rPr>
      </w:pPr>
      <w:r>
        <w:rPr>
          <w:rFonts w:ascii="仿宋_GB2312" w:eastAsia="仿宋_GB2312" w:hAnsi="宋体"/>
          <w:sz w:val="24"/>
        </w:rPr>
        <w:t>主要起草人信息</w:t>
      </w:r>
    </w:p>
    <w:tbl>
      <w:tblPr>
        <w:tblStyle w:val="af2"/>
        <w:tblW w:w="0" w:type="auto"/>
        <w:jc w:val="center"/>
        <w:tblLook w:val="04A0" w:firstRow="1" w:lastRow="0" w:firstColumn="1" w:lastColumn="0" w:noHBand="0" w:noVBand="1"/>
      </w:tblPr>
      <w:tblGrid>
        <w:gridCol w:w="846"/>
        <w:gridCol w:w="696"/>
        <w:gridCol w:w="1266"/>
        <w:gridCol w:w="3366"/>
        <w:gridCol w:w="2106"/>
      </w:tblGrid>
      <w:tr w:rsidR="00126CB1" w14:paraId="3FD5A1BE" w14:textId="77777777">
        <w:trPr>
          <w:jc w:val="center"/>
        </w:trPr>
        <w:tc>
          <w:tcPr>
            <w:tcW w:w="0" w:type="auto"/>
          </w:tcPr>
          <w:p w14:paraId="702F29B0" w14:textId="77777777" w:rsidR="00126CB1" w:rsidRDefault="005D0D44">
            <w:pPr>
              <w:spacing w:line="400" w:lineRule="exact"/>
              <w:jc w:val="center"/>
              <w:rPr>
                <w:rFonts w:ascii="仿宋" w:eastAsia="仿宋" w:hAnsi="仿宋" w:cs="Courier New"/>
                <w:sz w:val="24"/>
              </w:rPr>
            </w:pPr>
            <w:r>
              <w:rPr>
                <w:rFonts w:ascii="仿宋" w:eastAsia="仿宋" w:hAnsi="仿宋" w:cs="Courier New" w:hint="eastAsia"/>
                <w:sz w:val="24"/>
              </w:rPr>
              <w:t>姓名</w:t>
            </w:r>
          </w:p>
        </w:tc>
        <w:tc>
          <w:tcPr>
            <w:tcW w:w="0" w:type="auto"/>
          </w:tcPr>
          <w:p w14:paraId="7DD43DBE" w14:textId="77777777" w:rsidR="00126CB1" w:rsidRDefault="005D0D44">
            <w:pPr>
              <w:spacing w:line="400" w:lineRule="exact"/>
              <w:jc w:val="center"/>
              <w:rPr>
                <w:rFonts w:ascii="仿宋" w:eastAsia="仿宋" w:hAnsi="仿宋" w:cs="Courier New"/>
                <w:sz w:val="24"/>
              </w:rPr>
            </w:pPr>
            <w:r>
              <w:rPr>
                <w:rFonts w:ascii="仿宋" w:eastAsia="仿宋" w:hAnsi="仿宋" w:cs="Courier New" w:hint="eastAsia"/>
                <w:sz w:val="24"/>
              </w:rPr>
              <w:t>性别</w:t>
            </w:r>
          </w:p>
        </w:tc>
        <w:tc>
          <w:tcPr>
            <w:tcW w:w="0" w:type="auto"/>
          </w:tcPr>
          <w:p w14:paraId="1286BE79" w14:textId="77777777" w:rsidR="00126CB1" w:rsidRDefault="005D0D44">
            <w:pPr>
              <w:spacing w:line="400" w:lineRule="exact"/>
              <w:jc w:val="center"/>
              <w:rPr>
                <w:rFonts w:ascii="仿宋" w:eastAsia="仿宋" w:hAnsi="仿宋" w:cs="Courier New"/>
                <w:sz w:val="24"/>
              </w:rPr>
            </w:pPr>
            <w:r>
              <w:rPr>
                <w:rFonts w:ascii="仿宋" w:eastAsia="仿宋" w:hAnsi="仿宋" w:cs="Courier New" w:hint="eastAsia"/>
                <w:sz w:val="24"/>
              </w:rPr>
              <w:t>职称</w:t>
            </w:r>
          </w:p>
        </w:tc>
        <w:tc>
          <w:tcPr>
            <w:tcW w:w="0" w:type="auto"/>
          </w:tcPr>
          <w:p w14:paraId="602A944E" w14:textId="77777777" w:rsidR="00126CB1" w:rsidRDefault="005D0D44">
            <w:pPr>
              <w:spacing w:line="400" w:lineRule="exact"/>
              <w:jc w:val="center"/>
              <w:rPr>
                <w:rFonts w:ascii="仿宋" w:eastAsia="仿宋" w:hAnsi="仿宋" w:cs="Courier New"/>
                <w:sz w:val="24"/>
              </w:rPr>
            </w:pPr>
            <w:r>
              <w:rPr>
                <w:rFonts w:ascii="仿宋" w:eastAsia="仿宋" w:hAnsi="仿宋" w:cs="Courier New" w:hint="eastAsia"/>
                <w:sz w:val="24"/>
              </w:rPr>
              <w:t>工作单位</w:t>
            </w:r>
          </w:p>
        </w:tc>
        <w:tc>
          <w:tcPr>
            <w:tcW w:w="0" w:type="auto"/>
          </w:tcPr>
          <w:p w14:paraId="00121D9F" w14:textId="77777777" w:rsidR="00126CB1" w:rsidRDefault="005D0D44">
            <w:pPr>
              <w:spacing w:line="400" w:lineRule="exact"/>
              <w:jc w:val="center"/>
              <w:rPr>
                <w:rFonts w:ascii="仿宋" w:eastAsia="仿宋" w:hAnsi="仿宋" w:cs="Courier New"/>
                <w:sz w:val="24"/>
              </w:rPr>
            </w:pPr>
            <w:r>
              <w:rPr>
                <w:rFonts w:ascii="仿宋" w:eastAsia="仿宋" w:hAnsi="仿宋" w:cs="Courier New" w:hint="eastAsia"/>
                <w:sz w:val="24"/>
              </w:rPr>
              <w:t>任务分工</w:t>
            </w:r>
          </w:p>
        </w:tc>
      </w:tr>
      <w:tr w:rsidR="00126CB1" w14:paraId="727BAFF7" w14:textId="77777777">
        <w:trPr>
          <w:trHeight w:val="544"/>
          <w:jc w:val="center"/>
        </w:trPr>
        <w:tc>
          <w:tcPr>
            <w:tcW w:w="0" w:type="auto"/>
            <w:vAlign w:val="center"/>
          </w:tcPr>
          <w:p w14:paraId="48A3CBCC"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赵迎丽</w:t>
            </w:r>
          </w:p>
        </w:tc>
        <w:tc>
          <w:tcPr>
            <w:tcW w:w="0" w:type="auto"/>
            <w:vAlign w:val="center"/>
          </w:tcPr>
          <w:p w14:paraId="697966BB"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女</w:t>
            </w:r>
          </w:p>
        </w:tc>
        <w:tc>
          <w:tcPr>
            <w:tcW w:w="0" w:type="auto"/>
            <w:vAlign w:val="center"/>
          </w:tcPr>
          <w:p w14:paraId="3E153107"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研究员</w:t>
            </w:r>
          </w:p>
        </w:tc>
        <w:tc>
          <w:tcPr>
            <w:tcW w:w="0" w:type="auto"/>
            <w:vAlign w:val="center"/>
          </w:tcPr>
          <w:p w14:paraId="48F6626B"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山西农业大学食品科学与工程学院</w:t>
            </w:r>
          </w:p>
        </w:tc>
        <w:tc>
          <w:tcPr>
            <w:tcW w:w="0" w:type="auto"/>
            <w:vAlign w:val="center"/>
          </w:tcPr>
          <w:p w14:paraId="7CF7B4FB" w14:textId="77777777" w:rsidR="00126CB1" w:rsidRDefault="005D0D44">
            <w:pPr>
              <w:widowControl/>
              <w:adjustRightInd w:val="0"/>
              <w:snapToGrid w:val="0"/>
              <w:rPr>
                <w:rFonts w:ascii="仿宋" w:eastAsia="仿宋" w:hAnsi="仿宋" w:cs="仿宋"/>
                <w:szCs w:val="21"/>
              </w:rPr>
            </w:pPr>
            <w:r>
              <w:rPr>
                <w:rFonts w:ascii="仿宋" w:eastAsia="仿宋" w:hAnsi="仿宋" w:cs="仿宋" w:hint="eastAsia"/>
                <w:szCs w:val="21"/>
              </w:rPr>
              <w:t>框架制定，文本起草</w:t>
            </w:r>
          </w:p>
        </w:tc>
      </w:tr>
      <w:tr w:rsidR="00126CB1" w14:paraId="2AB29EA9" w14:textId="77777777">
        <w:trPr>
          <w:trHeight w:val="544"/>
          <w:jc w:val="center"/>
        </w:trPr>
        <w:tc>
          <w:tcPr>
            <w:tcW w:w="0" w:type="auto"/>
            <w:vAlign w:val="center"/>
          </w:tcPr>
          <w:p w14:paraId="40D4A8E6"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张  微</w:t>
            </w:r>
          </w:p>
        </w:tc>
        <w:tc>
          <w:tcPr>
            <w:tcW w:w="0" w:type="auto"/>
            <w:vAlign w:val="center"/>
          </w:tcPr>
          <w:p w14:paraId="428A4E6C"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女</w:t>
            </w:r>
          </w:p>
        </w:tc>
        <w:tc>
          <w:tcPr>
            <w:tcW w:w="0" w:type="auto"/>
            <w:vAlign w:val="center"/>
          </w:tcPr>
          <w:p w14:paraId="1F9B02D2"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副研究员</w:t>
            </w:r>
          </w:p>
        </w:tc>
        <w:tc>
          <w:tcPr>
            <w:tcW w:w="0" w:type="auto"/>
            <w:vAlign w:val="center"/>
          </w:tcPr>
          <w:p w14:paraId="07CF2551"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山西农业大学食品科学与工程学院</w:t>
            </w:r>
          </w:p>
        </w:tc>
        <w:tc>
          <w:tcPr>
            <w:tcW w:w="0" w:type="auto"/>
            <w:vAlign w:val="center"/>
          </w:tcPr>
          <w:p w14:paraId="30878266" w14:textId="77777777" w:rsidR="00126CB1" w:rsidRDefault="005D0D44">
            <w:pPr>
              <w:widowControl/>
              <w:adjustRightInd w:val="0"/>
              <w:snapToGrid w:val="0"/>
              <w:rPr>
                <w:rFonts w:ascii="仿宋" w:eastAsia="仿宋" w:hAnsi="仿宋" w:cs="仿宋"/>
                <w:szCs w:val="21"/>
              </w:rPr>
            </w:pPr>
            <w:r>
              <w:rPr>
                <w:rFonts w:ascii="仿宋" w:eastAsia="仿宋" w:hAnsi="仿宋" w:cs="仿宋" w:hint="eastAsia"/>
                <w:szCs w:val="21"/>
              </w:rPr>
              <w:t>生产调研，规程细化</w:t>
            </w:r>
          </w:p>
        </w:tc>
      </w:tr>
      <w:tr w:rsidR="00126CB1" w14:paraId="0B2F811D" w14:textId="77777777">
        <w:trPr>
          <w:trHeight w:val="544"/>
          <w:jc w:val="center"/>
        </w:trPr>
        <w:tc>
          <w:tcPr>
            <w:tcW w:w="0" w:type="auto"/>
            <w:vAlign w:val="center"/>
          </w:tcPr>
          <w:p w14:paraId="455C702A"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王  亮</w:t>
            </w:r>
          </w:p>
        </w:tc>
        <w:tc>
          <w:tcPr>
            <w:tcW w:w="0" w:type="auto"/>
            <w:vAlign w:val="center"/>
          </w:tcPr>
          <w:p w14:paraId="4EE4C70B"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男</w:t>
            </w:r>
          </w:p>
        </w:tc>
        <w:tc>
          <w:tcPr>
            <w:tcW w:w="0" w:type="auto"/>
            <w:vAlign w:val="center"/>
          </w:tcPr>
          <w:p w14:paraId="29EEFF0F"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副研究员</w:t>
            </w:r>
          </w:p>
        </w:tc>
        <w:tc>
          <w:tcPr>
            <w:tcW w:w="0" w:type="auto"/>
            <w:vAlign w:val="center"/>
          </w:tcPr>
          <w:p w14:paraId="57147FB7"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山西农业大学食品科学与工程学院</w:t>
            </w:r>
          </w:p>
        </w:tc>
        <w:tc>
          <w:tcPr>
            <w:tcW w:w="0" w:type="auto"/>
            <w:vAlign w:val="center"/>
          </w:tcPr>
          <w:p w14:paraId="4FA298CE" w14:textId="77777777" w:rsidR="00126CB1" w:rsidRDefault="005D0D44">
            <w:pPr>
              <w:widowControl/>
              <w:adjustRightInd w:val="0"/>
              <w:snapToGrid w:val="0"/>
              <w:rPr>
                <w:rFonts w:ascii="仿宋" w:eastAsia="仿宋" w:hAnsi="仿宋" w:cs="仿宋"/>
                <w:szCs w:val="21"/>
              </w:rPr>
            </w:pPr>
            <w:r>
              <w:rPr>
                <w:rFonts w:ascii="仿宋" w:eastAsia="仿宋" w:hAnsi="仿宋" w:cs="仿宋" w:hint="eastAsia"/>
                <w:szCs w:val="21"/>
              </w:rPr>
              <w:t>技术指标的验证</w:t>
            </w:r>
          </w:p>
        </w:tc>
      </w:tr>
      <w:tr w:rsidR="00126CB1" w14:paraId="3DEE9C89" w14:textId="77777777">
        <w:trPr>
          <w:trHeight w:val="544"/>
          <w:jc w:val="center"/>
        </w:trPr>
        <w:tc>
          <w:tcPr>
            <w:tcW w:w="0" w:type="auto"/>
            <w:vAlign w:val="center"/>
          </w:tcPr>
          <w:p w14:paraId="55A55A27"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杨志国</w:t>
            </w:r>
          </w:p>
        </w:tc>
        <w:tc>
          <w:tcPr>
            <w:tcW w:w="0" w:type="auto"/>
            <w:vAlign w:val="center"/>
          </w:tcPr>
          <w:p w14:paraId="33371C7B"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男</w:t>
            </w:r>
          </w:p>
        </w:tc>
        <w:tc>
          <w:tcPr>
            <w:tcW w:w="0" w:type="auto"/>
            <w:vAlign w:val="center"/>
          </w:tcPr>
          <w:p w14:paraId="30179B78"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助理研究员</w:t>
            </w:r>
          </w:p>
        </w:tc>
        <w:tc>
          <w:tcPr>
            <w:tcW w:w="0" w:type="auto"/>
            <w:vAlign w:val="center"/>
          </w:tcPr>
          <w:p w14:paraId="7911AC34"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山西农业大学食品科学与工程学院</w:t>
            </w:r>
          </w:p>
        </w:tc>
        <w:tc>
          <w:tcPr>
            <w:tcW w:w="0" w:type="auto"/>
            <w:vAlign w:val="center"/>
          </w:tcPr>
          <w:p w14:paraId="514E736F" w14:textId="77777777" w:rsidR="00126CB1" w:rsidRDefault="005D0D44">
            <w:pPr>
              <w:widowControl/>
              <w:adjustRightInd w:val="0"/>
              <w:snapToGrid w:val="0"/>
              <w:rPr>
                <w:rFonts w:ascii="仿宋" w:eastAsia="仿宋" w:hAnsi="仿宋" w:cs="仿宋"/>
                <w:szCs w:val="21"/>
              </w:rPr>
            </w:pPr>
            <w:r>
              <w:rPr>
                <w:rFonts w:ascii="仿宋" w:eastAsia="仿宋" w:hAnsi="仿宋" w:cs="仿宋" w:hint="eastAsia"/>
                <w:szCs w:val="21"/>
              </w:rPr>
              <w:t>技术指标的验证</w:t>
            </w:r>
          </w:p>
        </w:tc>
      </w:tr>
      <w:tr w:rsidR="00126CB1" w14:paraId="7A9E2123" w14:textId="77777777">
        <w:trPr>
          <w:trHeight w:val="544"/>
          <w:jc w:val="center"/>
        </w:trPr>
        <w:tc>
          <w:tcPr>
            <w:tcW w:w="0" w:type="auto"/>
            <w:vAlign w:val="center"/>
          </w:tcPr>
          <w:p w14:paraId="64BBAAC8"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李  超</w:t>
            </w:r>
          </w:p>
        </w:tc>
        <w:tc>
          <w:tcPr>
            <w:tcW w:w="0" w:type="auto"/>
            <w:vAlign w:val="center"/>
          </w:tcPr>
          <w:p w14:paraId="1A5DDD20"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男</w:t>
            </w:r>
          </w:p>
        </w:tc>
        <w:tc>
          <w:tcPr>
            <w:tcW w:w="0" w:type="auto"/>
            <w:vAlign w:val="center"/>
          </w:tcPr>
          <w:p w14:paraId="4E4E59D2"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副研究员</w:t>
            </w:r>
          </w:p>
        </w:tc>
        <w:tc>
          <w:tcPr>
            <w:tcW w:w="0" w:type="auto"/>
            <w:vAlign w:val="center"/>
          </w:tcPr>
          <w:p w14:paraId="2F93040F"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山西农业大学食品科学与工程学院</w:t>
            </w:r>
          </w:p>
        </w:tc>
        <w:tc>
          <w:tcPr>
            <w:tcW w:w="0" w:type="auto"/>
            <w:vAlign w:val="center"/>
          </w:tcPr>
          <w:p w14:paraId="39CD1992" w14:textId="77777777" w:rsidR="00126CB1" w:rsidRDefault="005D0D44">
            <w:pPr>
              <w:widowControl/>
              <w:adjustRightInd w:val="0"/>
              <w:snapToGrid w:val="0"/>
              <w:rPr>
                <w:rFonts w:ascii="仿宋" w:eastAsia="仿宋" w:hAnsi="仿宋" w:cs="仿宋"/>
                <w:szCs w:val="21"/>
              </w:rPr>
            </w:pPr>
            <w:r>
              <w:rPr>
                <w:rFonts w:ascii="仿宋" w:eastAsia="仿宋" w:hAnsi="仿宋" w:cs="仿宋" w:hint="eastAsia"/>
                <w:szCs w:val="21"/>
              </w:rPr>
              <w:t>冷库设施规程制定</w:t>
            </w:r>
          </w:p>
        </w:tc>
      </w:tr>
      <w:tr w:rsidR="00126CB1" w14:paraId="5E7BACF3" w14:textId="77777777">
        <w:trPr>
          <w:trHeight w:val="544"/>
          <w:jc w:val="center"/>
        </w:trPr>
        <w:tc>
          <w:tcPr>
            <w:tcW w:w="0" w:type="auto"/>
            <w:vAlign w:val="center"/>
          </w:tcPr>
          <w:p w14:paraId="3E6D6D29"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陈会燕</w:t>
            </w:r>
          </w:p>
        </w:tc>
        <w:tc>
          <w:tcPr>
            <w:tcW w:w="0" w:type="auto"/>
            <w:vAlign w:val="center"/>
          </w:tcPr>
          <w:p w14:paraId="1A3097D5"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女</w:t>
            </w:r>
          </w:p>
        </w:tc>
        <w:tc>
          <w:tcPr>
            <w:tcW w:w="0" w:type="auto"/>
            <w:vAlign w:val="center"/>
          </w:tcPr>
          <w:p w14:paraId="37DF60EC"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副研究员</w:t>
            </w:r>
          </w:p>
        </w:tc>
        <w:tc>
          <w:tcPr>
            <w:tcW w:w="0" w:type="auto"/>
            <w:vAlign w:val="center"/>
          </w:tcPr>
          <w:p w14:paraId="3B218A8A" w14:textId="77777777" w:rsidR="00126CB1" w:rsidRDefault="005D0D44">
            <w:pPr>
              <w:widowControl/>
              <w:adjustRightInd w:val="0"/>
              <w:snapToGrid w:val="0"/>
              <w:jc w:val="center"/>
              <w:rPr>
                <w:rFonts w:ascii="仿宋" w:eastAsia="仿宋" w:hAnsi="仿宋" w:cs="仿宋"/>
                <w:szCs w:val="21"/>
              </w:rPr>
            </w:pPr>
            <w:r>
              <w:rPr>
                <w:rFonts w:ascii="仿宋" w:eastAsia="仿宋" w:hAnsi="仿宋" w:cs="仿宋" w:hint="eastAsia"/>
                <w:szCs w:val="21"/>
              </w:rPr>
              <w:t>山西农业大学食品科学与工程学院</w:t>
            </w:r>
          </w:p>
        </w:tc>
        <w:tc>
          <w:tcPr>
            <w:tcW w:w="0" w:type="auto"/>
            <w:vAlign w:val="center"/>
          </w:tcPr>
          <w:p w14:paraId="1F2157DC" w14:textId="77777777" w:rsidR="00126CB1" w:rsidRDefault="005D0D44">
            <w:pPr>
              <w:widowControl/>
              <w:adjustRightInd w:val="0"/>
              <w:snapToGrid w:val="0"/>
              <w:rPr>
                <w:rFonts w:ascii="仿宋" w:eastAsia="仿宋" w:hAnsi="仿宋" w:cs="仿宋"/>
                <w:szCs w:val="21"/>
              </w:rPr>
            </w:pPr>
            <w:r>
              <w:rPr>
                <w:rFonts w:ascii="仿宋" w:eastAsia="仿宋" w:hAnsi="仿宋" w:cs="仿宋" w:hint="eastAsia"/>
                <w:szCs w:val="21"/>
              </w:rPr>
              <w:t>生产调研，资料收集</w:t>
            </w:r>
          </w:p>
        </w:tc>
      </w:tr>
    </w:tbl>
    <w:p w14:paraId="15315E1D" w14:textId="77777777" w:rsidR="00126CB1" w:rsidRDefault="005D0D44">
      <w:pPr>
        <w:spacing w:beforeLines="50" w:before="159" w:line="360" w:lineRule="auto"/>
        <w:ind w:firstLineChars="200"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14:paraId="3F810DC0" w14:textId="77777777" w:rsidR="00126CB1" w:rsidRDefault="005D0D44">
      <w:pPr>
        <w:widowControl/>
        <w:autoSpaceDE w:val="0"/>
        <w:autoSpaceDN w:val="0"/>
        <w:adjustRightInd w:val="0"/>
        <w:snapToGrid w:val="0"/>
        <w:spacing w:line="360" w:lineRule="auto"/>
        <w:ind w:rightChars="50" w:right="105" w:firstLineChars="200" w:firstLine="480"/>
        <w:rPr>
          <w:rFonts w:ascii="仿宋" w:eastAsia="仿宋" w:hAnsi="仿宋" w:cs="仿宋"/>
          <w:sz w:val="24"/>
        </w:rPr>
      </w:pPr>
      <w:r>
        <w:rPr>
          <w:rFonts w:ascii="仿宋" w:eastAsia="仿宋" w:hAnsi="仿宋" w:cs="仿宋" w:hint="eastAsia"/>
          <w:sz w:val="24"/>
        </w:rPr>
        <w:t>山西省地处全国重点发展杏产业的“三北”地区，丰富的品种资源和优良的品质是我省大力发展杏相关产业的基础。随着产量和面积的大幅增加而采后贮藏技术应用的相对滞后，成为限制其产业良性发展的“瓶颈”。加之鲜杏果实成熟期集中</w:t>
      </w:r>
      <w:r>
        <w:rPr>
          <w:rFonts w:ascii="仿宋" w:eastAsia="仿宋" w:hAnsi="仿宋" w:cs="仿宋"/>
          <w:sz w:val="24"/>
        </w:rPr>
        <w:t>,</w:t>
      </w:r>
      <w:r>
        <w:rPr>
          <w:rFonts w:ascii="仿宋" w:eastAsia="仿宋" w:hAnsi="仿宋" w:cs="仿宋" w:hint="eastAsia"/>
          <w:sz w:val="24"/>
        </w:rPr>
        <w:t>又逢高温盛夏季节、采后果实快速褪绿变黄，质地软化乃至腐败变质，导致鲜杏供应期短而集中，以鲜杏作为加工原料的企业作业时间短，制约了资源优势的有效转化。</w:t>
      </w:r>
      <w:bookmarkStart w:id="0" w:name="_GoBack"/>
      <w:bookmarkEnd w:id="0"/>
    </w:p>
    <w:p w14:paraId="5C22146A" w14:textId="77777777" w:rsidR="00126CB1" w:rsidRDefault="005D0D44">
      <w:pPr>
        <w:widowControl/>
        <w:autoSpaceDE w:val="0"/>
        <w:autoSpaceDN w:val="0"/>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杏的贮运保鲜是一项综合性技术措施，采后杏果实品质的保持在很大程度上取决于果品的采收成熟度、采收方法、采后处理和贮运条件。因此正确的调控果品采前、采中和采后的一系列可控因素，才能确保果品的优质品质，对延长市场供应也有着极为重要的意义，也是实现其经济效益的主要途径。在标准推广实施过程中发现，杏冷藏技术的应用一定程度上延缓了杏果实的后熟衰老。但是冷藏中仍存在贮藏技术操作不当、冷藏库管理缺失等问题导致杏采后果实品质下降，加之近年我省引进发展了一些优良新品种，产量质量均进一步提升，为此采后贮运技术的规范化应更适应市场需求、更利于开展商业性的贮藏运销。</w:t>
      </w:r>
    </w:p>
    <w:p w14:paraId="0913A4D7" w14:textId="77777777" w:rsidR="00126CB1" w:rsidRDefault="005D0D44">
      <w:pPr>
        <w:spacing w:line="360" w:lineRule="auto"/>
        <w:ind w:firstLineChars="200" w:firstLine="480"/>
        <w:outlineLvl w:val="0"/>
        <w:rPr>
          <w:rFonts w:ascii="仿宋" w:eastAsia="仿宋" w:hAnsi="仿宋" w:cs="仿宋"/>
          <w:sz w:val="24"/>
        </w:rPr>
      </w:pPr>
      <w:r>
        <w:rPr>
          <w:rFonts w:ascii="仿宋" w:eastAsia="仿宋" w:hAnsi="仿宋" w:cs="仿宋" w:hint="eastAsia"/>
          <w:sz w:val="24"/>
        </w:rPr>
        <w:t>另2020年以来，省政府在农产品主产区、特色农产品优势区、围绕水果、蔬菜等鲜活农产品开展仓储保鲜冷链设施建设，果品冷链物流及贮藏能力等硬件设施普遍提升。对标准化、规范化的贮运技术及冷藏管理提出更高需求，为此需进一步规范杏贮藏运输保鲜技术规程，对《杏冷藏技术规程》进行修订。提高鲜杏保鲜、保质效果的同时拓宽鲜杏采后产值提升空间。</w:t>
      </w:r>
    </w:p>
    <w:p w14:paraId="22DC7528" w14:textId="77777777" w:rsidR="00126CB1" w:rsidRDefault="005D0D44">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14:paraId="38AE5603" w14:textId="77777777" w:rsidR="00126CB1" w:rsidRDefault="005D0D44">
      <w:pPr>
        <w:spacing w:line="360" w:lineRule="auto"/>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14:paraId="28941C8E" w14:textId="77777777" w:rsidR="00126CB1" w:rsidRDefault="005D0D44">
      <w:pPr>
        <w:spacing w:line="360" w:lineRule="auto"/>
        <w:ind w:firstLineChars="200" w:firstLine="480"/>
        <w:rPr>
          <w:rFonts w:eastAsia="仿宋_GB2312"/>
          <w:bCs/>
          <w:sz w:val="24"/>
        </w:rPr>
      </w:pPr>
      <w:r>
        <w:rPr>
          <w:rFonts w:eastAsia="仿宋_GB2312" w:hint="eastAsia"/>
          <w:bCs/>
          <w:sz w:val="24"/>
        </w:rPr>
        <w:t>在《杏冷藏技术规程》修订任务下达后，山西农业大学食品科学与工程学院（农产品贮藏保鲜研究所）在原标准人员的基础上进行了调整，按照标准的制订程序，成立了标准编制工作组，学习了</w:t>
      </w:r>
      <w:r>
        <w:rPr>
          <w:rFonts w:eastAsia="仿宋_GB2312" w:hint="eastAsia"/>
          <w:bCs/>
          <w:sz w:val="24"/>
        </w:rPr>
        <w:t>GB/T1.1</w:t>
      </w:r>
      <w:r>
        <w:rPr>
          <w:rFonts w:eastAsia="仿宋_GB2312" w:hint="eastAsia"/>
          <w:bCs/>
          <w:sz w:val="24"/>
        </w:rPr>
        <w:t>《标准化工作导则——第</w:t>
      </w:r>
      <w:r>
        <w:rPr>
          <w:rFonts w:eastAsia="仿宋_GB2312" w:hint="eastAsia"/>
          <w:bCs/>
          <w:sz w:val="24"/>
        </w:rPr>
        <w:t>1</w:t>
      </w:r>
      <w:r>
        <w:rPr>
          <w:rFonts w:eastAsia="仿宋_GB2312" w:hint="eastAsia"/>
          <w:bCs/>
          <w:sz w:val="24"/>
        </w:rPr>
        <w:t>部分：标准化文件的结构和起草规则》，对有关标准中一些基本概念有了较正确及较专业的理解，并对编写标准的方法和规则有了深入的了解，确保了具体编写工作的顺利进行，并制定了工作计划。</w:t>
      </w:r>
    </w:p>
    <w:p w14:paraId="7CD464C4" w14:textId="77777777" w:rsidR="00126CB1" w:rsidRDefault="005D0D44">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、收集资料</w:t>
      </w:r>
    </w:p>
    <w:p w14:paraId="5611FF7C" w14:textId="77777777" w:rsidR="00126CB1" w:rsidRDefault="005D0D44">
      <w:pPr>
        <w:widowControl/>
        <w:adjustRightInd w:val="0"/>
        <w:snapToGrid w:val="0"/>
        <w:spacing w:line="360" w:lineRule="auto"/>
        <w:ind w:firstLineChars="200" w:firstLine="480"/>
        <w:outlineLvl w:val="2"/>
        <w:rPr>
          <w:rFonts w:ascii="仿宋" w:eastAsia="仿宋" w:hAnsi="仿宋" w:cs="仿宋"/>
          <w:sz w:val="24"/>
        </w:rPr>
      </w:pPr>
      <w:r>
        <w:rPr>
          <w:rFonts w:ascii="仿宋" w:eastAsia="仿宋" w:hAnsi="仿宋" w:cs="仿宋" w:hint="eastAsia"/>
          <w:sz w:val="24"/>
        </w:rPr>
        <w:t>研究分析了当前我省杏产业的发展现状，收集了大量有关我国杏贮藏运输保鲜技术研究等方面的资料，查阅了大量近期出版和发表的有关于杏贮藏保鲜技术方面的著作和论文，以及国家、行业及各省相关的标准资料，并对这些资料进行了认真的归纳和总结。为《杏冷藏技术规程》的修订提供了重要的基础材料。</w:t>
      </w:r>
    </w:p>
    <w:p w14:paraId="15A62925" w14:textId="77777777" w:rsidR="00126CB1" w:rsidRDefault="005D0D44">
      <w:pPr>
        <w:spacing w:line="360" w:lineRule="auto"/>
        <w:ind w:firstLineChars="200" w:firstLine="480"/>
        <w:rPr>
          <w:rFonts w:eastAsia="仿宋_GB2312"/>
          <w:bCs/>
          <w:sz w:val="24"/>
        </w:rPr>
      </w:pPr>
      <w:r>
        <w:rPr>
          <w:rFonts w:eastAsia="仿宋_GB2312" w:hint="eastAsia"/>
          <w:bCs/>
          <w:sz w:val="24"/>
        </w:rPr>
        <w:t>3</w:t>
      </w:r>
      <w:r>
        <w:rPr>
          <w:rFonts w:eastAsia="仿宋_GB2312" w:hint="eastAsia"/>
          <w:bCs/>
          <w:sz w:val="24"/>
        </w:rPr>
        <w:t>、调研考察</w:t>
      </w:r>
    </w:p>
    <w:p w14:paraId="58D7E117" w14:textId="77777777" w:rsidR="00126CB1" w:rsidRDefault="005D0D44">
      <w:pPr>
        <w:widowControl/>
        <w:adjustRightInd w:val="0"/>
        <w:snapToGrid w:val="0"/>
        <w:spacing w:line="360" w:lineRule="auto"/>
        <w:ind w:firstLineChars="200" w:firstLine="480"/>
        <w:outlineLvl w:val="2"/>
        <w:rPr>
          <w:rFonts w:ascii="仿宋" w:eastAsia="仿宋" w:hAnsi="仿宋" w:cs="仿宋"/>
          <w:sz w:val="24"/>
        </w:rPr>
      </w:pPr>
      <w:r>
        <w:rPr>
          <w:rFonts w:ascii="仿宋" w:eastAsia="仿宋" w:hAnsi="仿宋" w:cs="仿宋" w:hint="eastAsia"/>
          <w:sz w:val="24"/>
        </w:rPr>
        <w:t>在广泛收集、分析、归纳与研究国内外相关技术资料和现有标准的基础上，结合我省鲜杏产销及贮藏的实际情况，在原标准的基础上，确定了《杏冷藏技术</w:t>
      </w:r>
      <w:r>
        <w:rPr>
          <w:rFonts w:ascii="仿宋" w:eastAsia="仿宋" w:hAnsi="仿宋" w:cs="仿宋" w:hint="eastAsia"/>
          <w:sz w:val="24"/>
        </w:rPr>
        <w:lastRenderedPageBreak/>
        <w:t>规程》的标准框架和主要内容。主要选择在榆次、大同等地进行试验验证和技术改进，收到了良好的效果，为起草该标准提供了可靠数据，保证标准的准确性和可操作性。另外起草组进行了广泛的调研工作，深入从事鲜杏栽培和采后贮藏方面研究的单位、企业、专业合作社，广泛了解鲜杏产销、加工中原料的贮备及贮藏中存在的主要问题，不断补充、完善技术内容。</w:t>
      </w:r>
    </w:p>
    <w:p w14:paraId="4894E757" w14:textId="77777777" w:rsidR="00126CB1" w:rsidRDefault="005D0D44">
      <w:pPr>
        <w:widowControl/>
        <w:adjustRightInd w:val="0"/>
        <w:snapToGrid w:val="0"/>
        <w:spacing w:line="360" w:lineRule="auto"/>
        <w:ind w:firstLine="442"/>
        <w:rPr>
          <w:rFonts w:asciiTheme="minorEastAsia" w:eastAsiaTheme="minorEastAsia" w:hAnsiTheme="minorEastAsia"/>
          <w:sz w:val="24"/>
        </w:rPr>
      </w:pPr>
      <w:r>
        <w:rPr>
          <w:rFonts w:ascii="仿宋" w:eastAsia="仿宋" w:hAnsi="仿宋" w:cs="仿宋" w:hint="eastAsia"/>
          <w:sz w:val="24"/>
        </w:rPr>
        <w:t>在调研中发现，原标准DB14/T 1380-2017 杏冷藏技术规程 推广实施过程中已有一段时间，但仍有部分企业或从业人员不熟悉或未掌握规程中一些环节，造成库内通风不良、品温过高，加速了自身生理衰老，增加了病害的发生和侵染。因此，在新制定的《杏冷藏技术规程》进一步细化了技术环节，使其操作性更强。</w:t>
      </w:r>
    </w:p>
    <w:p w14:paraId="293E31AD" w14:textId="77777777" w:rsidR="00126CB1" w:rsidRDefault="005D0D44" w:rsidP="00F8776A">
      <w:pPr>
        <w:spacing w:line="360" w:lineRule="auto"/>
        <w:ind w:firstLineChars="200" w:firstLine="480"/>
        <w:rPr>
          <w:rFonts w:eastAsia="仿宋_GB2312"/>
          <w:bCs/>
          <w:sz w:val="24"/>
        </w:rPr>
      </w:pPr>
      <w:r>
        <w:rPr>
          <w:rFonts w:eastAsia="仿宋_GB2312" w:hint="eastAsia"/>
          <w:bCs/>
          <w:sz w:val="24"/>
        </w:rPr>
        <w:t>4</w:t>
      </w:r>
      <w:r>
        <w:rPr>
          <w:rFonts w:eastAsia="仿宋_GB2312" w:hint="eastAsia"/>
          <w:bCs/>
          <w:sz w:val="24"/>
        </w:rPr>
        <w:t>、修订文本</w:t>
      </w:r>
    </w:p>
    <w:p w14:paraId="357BCC85" w14:textId="77777777" w:rsidR="00126CB1" w:rsidRDefault="005D0D44">
      <w:pPr>
        <w:widowControl/>
        <w:adjustRightInd w:val="0"/>
        <w:snapToGrid w:val="0"/>
        <w:spacing w:line="360" w:lineRule="auto"/>
        <w:ind w:firstLineChars="200" w:firstLine="480"/>
        <w:outlineLvl w:val="2"/>
        <w:rPr>
          <w:rFonts w:asciiTheme="minorEastAsia" w:eastAsiaTheme="minorEastAsia" w:hAnsiTheme="minorEastAsia"/>
          <w:sz w:val="24"/>
        </w:rPr>
      </w:pPr>
      <w:r>
        <w:rPr>
          <w:rFonts w:ascii="仿宋" w:eastAsia="仿宋" w:hAnsi="仿宋" w:cs="仿宋" w:hint="eastAsia"/>
          <w:sz w:val="24"/>
        </w:rPr>
        <w:t>根据GB/T1.1中标准编制的要求，结合省攻关项目“杏采后果实品质变化及控制技术研究”的研究成果，以及省科技成果转化引导专项“杏采后果实品质控制集成技术示范推广”在推广应用中发现生产中存在的问题，项目组2023年3月至8月，在对生产试验结果、收集的材料进行整理、分析后，以原标准为基础编写了《杏冷藏技术规程》的标准草案，组织有关人员进行讨论，对标准内容补充完善。在形成征求意见稿后向相关科研院所及生产企业进行了意见征集，制标小组对反馈意见经过汇总、分析后，对征求意见稿进行了认真修改，在此基础上于2023年12月形成送审稿。</w:t>
      </w:r>
    </w:p>
    <w:p w14:paraId="7FF2F9D9" w14:textId="19D7E9F2" w:rsidR="00126CB1" w:rsidRDefault="005D0D44">
      <w:pPr>
        <w:spacing w:line="360" w:lineRule="auto"/>
        <w:ind w:firstLineChars="200" w:firstLine="480"/>
        <w:rPr>
          <w:rFonts w:eastAsia="仿宋_GB2312"/>
          <w:bCs/>
          <w:sz w:val="24"/>
        </w:rPr>
      </w:pPr>
      <w:r>
        <w:rPr>
          <w:rFonts w:eastAsia="仿宋_GB2312" w:hint="eastAsia"/>
          <w:bCs/>
          <w:sz w:val="24"/>
        </w:rPr>
        <w:t>5</w:t>
      </w:r>
      <w:r>
        <w:rPr>
          <w:rFonts w:eastAsia="仿宋_GB2312" w:hint="eastAsia"/>
          <w:bCs/>
          <w:sz w:val="24"/>
        </w:rPr>
        <w:t>、</w:t>
      </w:r>
      <w:r w:rsidR="00296ACF">
        <w:rPr>
          <w:rFonts w:ascii="仿宋" w:eastAsia="仿宋" w:hAnsi="仿宋" w:cs="仿宋" w:hint="eastAsia"/>
          <w:sz w:val="24"/>
        </w:rPr>
        <w:t>标准</w:t>
      </w:r>
      <w:r>
        <w:rPr>
          <w:rFonts w:eastAsia="仿宋_GB2312" w:hint="eastAsia"/>
          <w:bCs/>
          <w:sz w:val="24"/>
        </w:rPr>
        <w:t>评审</w:t>
      </w:r>
    </w:p>
    <w:p w14:paraId="7EB5E271" w14:textId="26964FA0" w:rsidR="00126CB1" w:rsidRDefault="005D0D44" w:rsidP="00FC0411">
      <w:pPr>
        <w:widowControl/>
        <w:adjustRightInd w:val="0"/>
        <w:snapToGrid w:val="0"/>
        <w:spacing w:line="360" w:lineRule="auto"/>
        <w:ind w:firstLineChars="200" w:firstLine="480"/>
        <w:outlineLvl w:val="2"/>
        <w:rPr>
          <w:rFonts w:ascii="仿宋" w:eastAsia="仿宋" w:hAnsi="仿宋" w:cs="仿宋"/>
          <w:sz w:val="24"/>
        </w:rPr>
      </w:pPr>
      <w:r>
        <w:rPr>
          <w:rFonts w:ascii="仿宋" w:eastAsia="仿宋" w:hAnsi="仿宋" w:cs="仿宋" w:hint="eastAsia"/>
          <w:sz w:val="24"/>
        </w:rPr>
        <w:t>2024年3月10日，山西省质量技术监督局在山西省园艺产业发展中心组织专家对山西省农业农村厅提出的，山西农业大学修订的山西省地方标准《杏冷藏技术规程》进行了</w:t>
      </w:r>
      <w:r w:rsidR="00296ACF">
        <w:rPr>
          <w:rFonts w:ascii="仿宋" w:eastAsia="仿宋" w:hAnsi="仿宋" w:cs="仿宋" w:hint="eastAsia"/>
          <w:sz w:val="24"/>
        </w:rPr>
        <w:t>标准</w:t>
      </w:r>
      <w:r>
        <w:rPr>
          <w:rFonts w:ascii="仿宋" w:eastAsia="仿宋" w:hAnsi="仿宋" w:cs="仿宋" w:hint="eastAsia"/>
          <w:sz w:val="24"/>
        </w:rPr>
        <w:t>审查。会议邀请了山西农业大学、山西省农业农村厅、山西省标准化委员会等单位的7名专家组成专家组，与会专家听取了起草单位对《杏冷藏技术规程》的修订情况汇报，并对标准送审稿和编制说明进行了评审，经质询讨论，形成如下意见：</w:t>
      </w:r>
    </w:p>
    <w:p w14:paraId="437F253F" w14:textId="184FCFB2" w:rsidR="00126CB1" w:rsidRPr="00496082" w:rsidRDefault="005D0D44" w:rsidP="00496082">
      <w:pPr>
        <w:pStyle w:val="af5"/>
        <w:widowControl/>
        <w:numPr>
          <w:ilvl w:val="0"/>
          <w:numId w:val="6"/>
        </w:numPr>
        <w:adjustRightInd w:val="0"/>
        <w:snapToGrid w:val="0"/>
        <w:spacing w:line="360" w:lineRule="auto"/>
        <w:ind w:firstLineChars="0"/>
        <w:outlineLvl w:val="2"/>
        <w:rPr>
          <w:rFonts w:ascii="仿宋" w:eastAsia="仿宋" w:hAnsi="仿宋" w:cs="仿宋"/>
          <w:sz w:val="24"/>
        </w:rPr>
      </w:pPr>
      <w:r w:rsidRPr="00496082">
        <w:rPr>
          <w:rFonts w:ascii="仿宋" w:eastAsia="仿宋" w:hAnsi="仿宋" w:cs="仿宋" w:hint="eastAsia"/>
          <w:sz w:val="24"/>
        </w:rPr>
        <w:t>该标准符合国家相关法律法规及相关标准要求。符合地方标准制修订原则和相关制定程序。编写格式基本符合GB/T 1.1-2020的要求。</w:t>
      </w:r>
    </w:p>
    <w:p w14:paraId="12996367" w14:textId="63B5708E" w:rsidR="00126CB1" w:rsidRPr="00496082" w:rsidRDefault="005D0D44" w:rsidP="00496082">
      <w:pPr>
        <w:pStyle w:val="af5"/>
        <w:widowControl/>
        <w:numPr>
          <w:ilvl w:val="0"/>
          <w:numId w:val="6"/>
        </w:numPr>
        <w:adjustRightInd w:val="0"/>
        <w:snapToGrid w:val="0"/>
        <w:spacing w:line="360" w:lineRule="auto"/>
        <w:ind w:firstLineChars="0"/>
        <w:outlineLvl w:val="2"/>
        <w:rPr>
          <w:rFonts w:ascii="宋体" w:hAnsi="宋体" w:cs="宋体"/>
          <w:sz w:val="24"/>
        </w:rPr>
      </w:pPr>
      <w:r w:rsidRPr="00496082">
        <w:rPr>
          <w:rFonts w:ascii="仿宋" w:eastAsia="仿宋" w:hAnsi="仿宋" w:cs="仿宋" w:hint="eastAsia"/>
          <w:sz w:val="24"/>
        </w:rPr>
        <w:t>该标准对杏冷藏技术进行了规范，对鲜杏生产有指导作用。</w:t>
      </w:r>
    </w:p>
    <w:p w14:paraId="18F03322" w14:textId="6A818D5E" w:rsidR="00126CB1" w:rsidRPr="00496082" w:rsidRDefault="005D0D44" w:rsidP="00496082">
      <w:pPr>
        <w:pStyle w:val="af5"/>
        <w:numPr>
          <w:ilvl w:val="0"/>
          <w:numId w:val="6"/>
        </w:numPr>
        <w:snapToGrid w:val="0"/>
        <w:spacing w:line="360" w:lineRule="auto"/>
        <w:ind w:firstLineChars="0"/>
        <w:jc w:val="left"/>
        <w:rPr>
          <w:rFonts w:ascii="仿宋" w:eastAsia="仿宋" w:hAnsi="仿宋" w:cs="仿宋"/>
          <w:sz w:val="24"/>
        </w:rPr>
      </w:pPr>
      <w:r w:rsidRPr="00496082">
        <w:rPr>
          <w:rFonts w:ascii="仿宋" w:eastAsia="仿宋" w:hAnsi="仿宋" w:cs="仿宋" w:hint="eastAsia"/>
          <w:sz w:val="24"/>
        </w:rPr>
        <w:t>主要修改意见：</w:t>
      </w:r>
    </w:p>
    <w:p w14:paraId="5B962D43" w14:textId="77777777" w:rsidR="00126CB1" w:rsidRDefault="005D0D44" w:rsidP="00496082">
      <w:pPr>
        <w:numPr>
          <w:ilvl w:val="0"/>
          <w:numId w:val="3"/>
        </w:numPr>
        <w:snapToGrid w:val="0"/>
        <w:spacing w:line="360" w:lineRule="auto"/>
        <w:ind w:left="0" w:firstLineChars="200" w:firstLine="480"/>
        <w:rPr>
          <w:rFonts w:ascii="仿宋" w:eastAsia="仿宋" w:hAnsi="仿宋" w:cs="仿宋"/>
          <w:sz w:val="24"/>
        </w:rPr>
      </w:pPr>
      <w:r>
        <w:rPr>
          <w:rFonts w:ascii="仿宋" w:eastAsia="仿宋" w:hAnsi="仿宋" w:cs="仿宋" w:hint="eastAsia"/>
          <w:sz w:val="24"/>
        </w:rPr>
        <w:t>增加第</w:t>
      </w:r>
      <w:r>
        <w:rPr>
          <w:rFonts w:ascii="仿宋" w:eastAsia="仿宋" w:hAnsi="仿宋" w:cs="仿宋"/>
          <w:sz w:val="24"/>
        </w:rPr>
        <w:t>3</w:t>
      </w:r>
      <w:r>
        <w:rPr>
          <w:rFonts w:ascii="仿宋" w:eastAsia="仿宋" w:hAnsi="仿宋" w:cs="仿宋" w:hint="eastAsia"/>
          <w:sz w:val="24"/>
        </w:rPr>
        <w:t>章　术语和定义；</w:t>
      </w:r>
    </w:p>
    <w:p w14:paraId="4AD698BD" w14:textId="77777777" w:rsidR="00126CB1" w:rsidRDefault="005D0D44" w:rsidP="00496082">
      <w:pPr>
        <w:numPr>
          <w:ilvl w:val="0"/>
          <w:numId w:val="3"/>
        </w:numPr>
        <w:snapToGrid w:val="0"/>
        <w:spacing w:line="360" w:lineRule="auto"/>
        <w:ind w:left="0" w:firstLineChars="200" w:firstLine="480"/>
        <w:jc w:val="left"/>
        <w:rPr>
          <w:rFonts w:ascii="仿宋" w:eastAsia="仿宋" w:hAnsi="仿宋" w:cs="仿宋"/>
          <w:sz w:val="24"/>
        </w:rPr>
      </w:pPr>
      <w:r>
        <w:rPr>
          <w:rFonts w:ascii="仿宋" w:eastAsia="仿宋" w:hAnsi="仿宋" w:cs="仿宋" w:hint="eastAsia"/>
          <w:sz w:val="24"/>
        </w:rPr>
        <w:lastRenderedPageBreak/>
        <w:t>第</w:t>
      </w:r>
      <w:r>
        <w:rPr>
          <w:rFonts w:ascii="仿宋" w:eastAsia="仿宋" w:hAnsi="仿宋" w:cs="仿宋"/>
          <w:sz w:val="24"/>
        </w:rPr>
        <w:t>3</w:t>
      </w:r>
      <w:r>
        <w:rPr>
          <w:rFonts w:ascii="仿宋" w:eastAsia="仿宋" w:hAnsi="仿宋" w:cs="仿宋" w:hint="eastAsia"/>
          <w:sz w:val="24"/>
        </w:rPr>
        <w:t>章“采前管理”、第６章“包装”合并至“采收”章节；</w:t>
      </w:r>
    </w:p>
    <w:p w14:paraId="56A598C3" w14:textId="77777777" w:rsidR="00126CB1" w:rsidRDefault="005D0D44" w:rsidP="00496082">
      <w:pPr>
        <w:numPr>
          <w:ilvl w:val="0"/>
          <w:numId w:val="3"/>
        </w:numPr>
        <w:snapToGrid w:val="0"/>
        <w:spacing w:line="360" w:lineRule="auto"/>
        <w:ind w:left="0" w:firstLineChars="200" w:firstLine="480"/>
        <w:jc w:val="left"/>
        <w:rPr>
          <w:rFonts w:ascii="仿宋" w:eastAsia="仿宋" w:hAnsi="仿宋" w:cs="仿宋"/>
          <w:sz w:val="24"/>
        </w:rPr>
      </w:pPr>
      <w:r>
        <w:rPr>
          <w:rFonts w:ascii="仿宋" w:eastAsia="仿宋" w:hAnsi="仿宋" w:cs="仿宋" w:hint="eastAsia"/>
          <w:sz w:val="24"/>
        </w:rPr>
        <w:t>第</w:t>
      </w:r>
      <w:r>
        <w:rPr>
          <w:rFonts w:ascii="仿宋" w:eastAsia="仿宋" w:hAnsi="仿宋" w:cs="仿宋"/>
          <w:sz w:val="24"/>
        </w:rPr>
        <w:t>4</w:t>
      </w:r>
      <w:r>
        <w:rPr>
          <w:rFonts w:ascii="仿宋" w:eastAsia="仿宋" w:hAnsi="仿宋" w:cs="仿宋" w:hint="eastAsia"/>
          <w:sz w:val="24"/>
        </w:rPr>
        <w:t>章“冷库准备”置于“采收”章节后；</w:t>
      </w:r>
    </w:p>
    <w:p w14:paraId="02E7E332" w14:textId="77777777" w:rsidR="00126CB1" w:rsidRDefault="005D0D44" w:rsidP="00496082">
      <w:pPr>
        <w:numPr>
          <w:ilvl w:val="0"/>
          <w:numId w:val="3"/>
        </w:numPr>
        <w:snapToGrid w:val="0"/>
        <w:spacing w:line="360" w:lineRule="auto"/>
        <w:ind w:left="0" w:firstLineChars="200" w:firstLine="480"/>
        <w:jc w:val="left"/>
        <w:rPr>
          <w:rFonts w:ascii="仿宋" w:eastAsia="仿宋" w:hAnsi="仿宋" w:cs="仿宋"/>
          <w:sz w:val="24"/>
        </w:rPr>
      </w:pPr>
      <w:r>
        <w:rPr>
          <w:rFonts w:ascii="仿宋" w:eastAsia="仿宋" w:hAnsi="仿宋" w:cs="仿宋" w:hint="eastAsia"/>
          <w:sz w:val="24"/>
        </w:rPr>
        <w:t>第</w:t>
      </w:r>
      <w:r>
        <w:rPr>
          <w:rFonts w:ascii="仿宋" w:eastAsia="仿宋" w:hAnsi="仿宋" w:cs="仿宋"/>
          <w:sz w:val="24"/>
        </w:rPr>
        <w:t>7</w:t>
      </w:r>
      <w:r>
        <w:rPr>
          <w:rFonts w:ascii="仿宋" w:eastAsia="仿宋" w:hAnsi="仿宋" w:cs="仿宋" w:hint="eastAsia"/>
          <w:sz w:val="24"/>
        </w:rPr>
        <w:t>章，</w:t>
      </w:r>
      <w:r>
        <w:rPr>
          <w:rFonts w:ascii="仿宋" w:eastAsia="仿宋" w:hAnsi="仿宋" w:cs="仿宋"/>
          <w:sz w:val="24"/>
        </w:rPr>
        <w:t>7.1</w:t>
      </w:r>
      <w:r>
        <w:rPr>
          <w:rFonts w:ascii="仿宋" w:eastAsia="仿宋" w:hAnsi="仿宋" w:cs="仿宋" w:hint="eastAsia"/>
          <w:sz w:val="24"/>
        </w:rPr>
        <w:t>“入库”与</w:t>
      </w:r>
      <w:r>
        <w:rPr>
          <w:rFonts w:ascii="仿宋" w:eastAsia="仿宋" w:hAnsi="仿宋" w:cs="仿宋"/>
          <w:sz w:val="24"/>
        </w:rPr>
        <w:t>7.2</w:t>
      </w:r>
      <w:r>
        <w:rPr>
          <w:rFonts w:ascii="仿宋" w:eastAsia="仿宋" w:hAnsi="仿宋" w:cs="仿宋" w:hint="eastAsia"/>
          <w:sz w:val="24"/>
        </w:rPr>
        <w:t>“预冷”合并；</w:t>
      </w:r>
    </w:p>
    <w:p w14:paraId="401008E9" w14:textId="77777777" w:rsidR="00126CB1" w:rsidRDefault="005D0D44" w:rsidP="00496082">
      <w:pPr>
        <w:numPr>
          <w:ilvl w:val="0"/>
          <w:numId w:val="3"/>
        </w:numPr>
        <w:snapToGrid w:val="0"/>
        <w:spacing w:line="360" w:lineRule="auto"/>
        <w:ind w:left="0" w:firstLineChars="200" w:firstLine="480"/>
        <w:jc w:val="left"/>
        <w:rPr>
          <w:rFonts w:ascii="仿宋" w:eastAsia="仿宋" w:hAnsi="仿宋" w:cs="仿宋"/>
          <w:sz w:val="24"/>
        </w:rPr>
      </w:pPr>
      <w:r>
        <w:rPr>
          <w:rFonts w:ascii="仿宋" w:eastAsia="仿宋" w:hAnsi="仿宋" w:cs="仿宋" w:hint="eastAsia"/>
          <w:sz w:val="24"/>
        </w:rPr>
        <w:t>第</w:t>
      </w:r>
      <w:r>
        <w:rPr>
          <w:rFonts w:ascii="仿宋" w:eastAsia="仿宋" w:hAnsi="仿宋" w:cs="仿宋"/>
          <w:sz w:val="24"/>
        </w:rPr>
        <w:t>8</w:t>
      </w:r>
      <w:r>
        <w:rPr>
          <w:rFonts w:ascii="仿宋" w:eastAsia="仿宋" w:hAnsi="仿宋" w:cs="仿宋" w:hint="eastAsia"/>
          <w:sz w:val="24"/>
        </w:rPr>
        <w:t>章，将“贮藏方式”修改为“冷藏方式”；</w:t>
      </w:r>
    </w:p>
    <w:p w14:paraId="28959742" w14:textId="77777777" w:rsidR="00126CB1" w:rsidRDefault="005D0D44" w:rsidP="00496082">
      <w:pPr>
        <w:numPr>
          <w:ilvl w:val="0"/>
          <w:numId w:val="3"/>
        </w:numPr>
        <w:snapToGrid w:val="0"/>
        <w:spacing w:line="360" w:lineRule="auto"/>
        <w:ind w:left="0" w:firstLineChars="200" w:firstLine="480"/>
        <w:jc w:val="left"/>
        <w:rPr>
          <w:rFonts w:ascii="仿宋" w:eastAsia="仿宋" w:hAnsi="仿宋" w:cs="仿宋"/>
          <w:sz w:val="24"/>
        </w:rPr>
      </w:pPr>
      <w:r>
        <w:rPr>
          <w:rFonts w:ascii="仿宋" w:eastAsia="仿宋" w:hAnsi="仿宋" w:cs="仿宋" w:hint="eastAsia"/>
          <w:sz w:val="24"/>
        </w:rPr>
        <w:t>第</w:t>
      </w:r>
      <w:r>
        <w:rPr>
          <w:rFonts w:ascii="仿宋" w:eastAsia="仿宋" w:hAnsi="仿宋" w:cs="仿宋"/>
          <w:sz w:val="24"/>
        </w:rPr>
        <w:t>11</w:t>
      </w:r>
      <w:r>
        <w:rPr>
          <w:rFonts w:ascii="仿宋" w:eastAsia="仿宋" w:hAnsi="仿宋" w:cs="仿宋" w:hint="eastAsia"/>
          <w:sz w:val="24"/>
        </w:rPr>
        <w:t>章“运输物流”删除；</w:t>
      </w:r>
    </w:p>
    <w:p w14:paraId="2435E5B0" w14:textId="77777777" w:rsidR="00126CB1" w:rsidRDefault="005D0D44" w:rsidP="00496082">
      <w:pPr>
        <w:numPr>
          <w:ilvl w:val="0"/>
          <w:numId w:val="3"/>
        </w:numPr>
        <w:snapToGrid w:val="0"/>
        <w:spacing w:line="360" w:lineRule="auto"/>
        <w:ind w:left="0" w:firstLineChars="200" w:firstLine="480"/>
        <w:jc w:val="left"/>
        <w:rPr>
          <w:rFonts w:ascii="仿宋" w:eastAsia="仿宋" w:hAnsi="仿宋" w:cs="仿宋"/>
          <w:sz w:val="24"/>
        </w:rPr>
      </w:pPr>
      <w:r>
        <w:rPr>
          <w:rFonts w:ascii="仿宋" w:eastAsia="仿宋" w:hAnsi="仿宋" w:cs="仿宋" w:hint="eastAsia"/>
          <w:sz w:val="24"/>
        </w:rPr>
        <w:t>进一步完善文本内的框架、结构及内容，规范编制说明框架格式和文字表述。</w:t>
      </w:r>
    </w:p>
    <w:p w14:paraId="14396909" w14:textId="7E442489" w:rsidR="00126CB1" w:rsidRDefault="005D0D44" w:rsidP="00FC0411">
      <w:pPr>
        <w:snapToGrid w:val="0"/>
        <w:spacing w:line="360" w:lineRule="auto"/>
        <w:ind w:firstLineChars="200" w:firstLine="480"/>
        <w:jc w:val="left"/>
        <w:rPr>
          <w:rFonts w:ascii="仿宋" w:eastAsia="仿宋" w:hAnsi="仿宋" w:cs="仿宋"/>
          <w:sz w:val="24"/>
        </w:rPr>
      </w:pPr>
      <w:r>
        <w:rPr>
          <w:rFonts w:ascii="仿宋" w:eastAsia="仿宋" w:hAnsi="仿宋" w:cs="仿宋" w:hint="eastAsia"/>
          <w:sz w:val="24"/>
        </w:rPr>
        <w:t>专家组同意通过</w:t>
      </w:r>
      <w:r w:rsidR="00296ACF">
        <w:rPr>
          <w:rFonts w:ascii="仿宋" w:eastAsia="仿宋" w:hAnsi="仿宋" w:cs="仿宋" w:hint="eastAsia"/>
          <w:sz w:val="24"/>
        </w:rPr>
        <w:t>标准</w:t>
      </w:r>
      <w:r>
        <w:rPr>
          <w:rFonts w:ascii="仿宋" w:eastAsia="仿宋" w:hAnsi="仿宋" w:cs="仿宋" w:hint="eastAsia"/>
          <w:sz w:val="24"/>
        </w:rPr>
        <w:t>评审，起草单位按照专家组意见修改完善，形成征求意见稿。</w:t>
      </w:r>
    </w:p>
    <w:p w14:paraId="576B6D67"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14:paraId="29AFF3A0" w14:textId="77777777" w:rsidR="00126CB1" w:rsidRDefault="005D0D44">
      <w:pPr>
        <w:widowControl/>
        <w:adjustRightInd w:val="0"/>
        <w:snapToGrid w:val="0"/>
        <w:spacing w:line="360" w:lineRule="auto"/>
        <w:ind w:firstLine="442"/>
        <w:outlineLvl w:val="1"/>
        <w:rPr>
          <w:rFonts w:ascii="仿宋" w:eastAsia="仿宋" w:hAnsi="仿宋" w:cs="仿宋"/>
          <w:sz w:val="24"/>
        </w:rPr>
      </w:pPr>
      <w:r>
        <w:rPr>
          <w:rFonts w:ascii="仿宋" w:eastAsia="仿宋" w:hAnsi="仿宋" w:cs="仿宋" w:hint="eastAsia"/>
          <w:sz w:val="24"/>
        </w:rPr>
        <w:t>1、科学性：认真贯彻标准化工作导则GB/T1.1的有关规定，并做到该导则中总则的以下要求：在其范围所规定的界限内按需要力求完整、清楚、准确；充分考虑最新技术水平和市场情况；为未来技术发展提供框架；能被未参加标准编制的专业人员所理解。</w:t>
      </w:r>
    </w:p>
    <w:p w14:paraId="5250F6A8" w14:textId="77777777" w:rsidR="00126CB1" w:rsidRDefault="005D0D44">
      <w:pPr>
        <w:widowControl/>
        <w:adjustRightInd w:val="0"/>
        <w:snapToGrid w:val="0"/>
        <w:spacing w:line="360" w:lineRule="auto"/>
        <w:ind w:firstLine="442"/>
        <w:outlineLvl w:val="1"/>
        <w:rPr>
          <w:rFonts w:ascii="仿宋" w:eastAsia="仿宋" w:hAnsi="仿宋" w:cs="仿宋"/>
          <w:sz w:val="24"/>
        </w:rPr>
      </w:pPr>
      <w:r>
        <w:rPr>
          <w:rFonts w:ascii="仿宋" w:eastAsia="仿宋" w:hAnsi="仿宋" w:cs="仿宋" w:hint="eastAsia"/>
          <w:sz w:val="24"/>
        </w:rPr>
        <w:t>2、先进性和经济性兼顾：本标准尽可能吸纳最新的成熟的研究成果和我单位实践经验。但同时要充分考虑我省杏产销的发展现状和贮藏保鲜技术的实际水平，防止盲目追求高指标而脱离实际。</w:t>
      </w:r>
    </w:p>
    <w:p w14:paraId="1B2DA9A6" w14:textId="77777777" w:rsidR="00126CB1" w:rsidRDefault="005D0D44">
      <w:pPr>
        <w:widowControl/>
        <w:adjustRightInd w:val="0"/>
        <w:snapToGrid w:val="0"/>
        <w:spacing w:line="360" w:lineRule="auto"/>
        <w:ind w:firstLine="442"/>
        <w:outlineLvl w:val="1"/>
        <w:rPr>
          <w:rFonts w:ascii="仿宋" w:eastAsia="仿宋" w:hAnsi="仿宋" w:cs="仿宋"/>
          <w:sz w:val="24"/>
        </w:rPr>
      </w:pPr>
      <w:r>
        <w:rPr>
          <w:rFonts w:ascii="仿宋" w:eastAsia="仿宋" w:hAnsi="仿宋" w:cs="仿宋" w:hint="eastAsia"/>
          <w:sz w:val="24"/>
        </w:rPr>
        <w:t>3、适用性和可操作性：技术要素尽可能地适用于我省杏主产区的主栽品种，以发挥我省杏产业的资源优势。本标准中各项技术均来自于国内成熟技术成果及我所采后处理实践积累，描述具体，可操作性强，新修订的《杏冷藏技术规程》也采纳了原标准DB14/T 1380-2017中适用的有关章条，使得新修订的标准在技术上既有先进性，又有实用性。适用于果农、农民专业合作社、小型加工企业的实际操作。</w:t>
      </w:r>
    </w:p>
    <w:p w14:paraId="10FD0138" w14:textId="77777777" w:rsidR="00126CB1" w:rsidRDefault="005D0D44">
      <w:pPr>
        <w:widowControl/>
        <w:adjustRightInd w:val="0"/>
        <w:snapToGrid w:val="0"/>
        <w:spacing w:line="360" w:lineRule="auto"/>
        <w:ind w:firstLine="442"/>
        <w:outlineLvl w:val="1"/>
        <w:rPr>
          <w:rFonts w:ascii="仿宋" w:eastAsia="仿宋" w:hAnsi="仿宋" w:cs="仿宋"/>
          <w:sz w:val="24"/>
        </w:rPr>
      </w:pPr>
      <w:r>
        <w:rPr>
          <w:rFonts w:ascii="仿宋" w:eastAsia="仿宋" w:hAnsi="仿宋" w:cs="仿宋" w:hint="eastAsia"/>
          <w:sz w:val="24"/>
        </w:rPr>
        <w:t>4、合法性：本标准参考了现行的相关法律法规，包括《农产品质量安全法》等相关法律法规，并保证其内容与现行法律、法规不存在相矛盾的地方。</w:t>
      </w:r>
    </w:p>
    <w:p w14:paraId="51FB97B9"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14:paraId="78551E7D" w14:textId="77777777" w:rsidR="00126CB1" w:rsidRDefault="005D0D44">
      <w:pPr>
        <w:spacing w:line="360" w:lineRule="auto"/>
        <w:ind w:firstLineChars="200" w:firstLine="480"/>
        <w:rPr>
          <w:rFonts w:eastAsia="仿宋_GB2312"/>
          <w:bCs/>
          <w:sz w:val="24"/>
        </w:rPr>
      </w:pPr>
      <w:r>
        <w:rPr>
          <w:rFonts w:eastAsia="仿宋_GB2312" w:hint="eastAsia"/>
          <w:bCs/>
          <w:sz w:val="24"/>
        </w:rPr>
        <w:t>标准起草组以“合法性、安全性、适应性、协调性和先进性”为修订原则，以文本结构更加合理、表述更加准确、技术指标更加科学为修订目标，从</w:t>
      </w:r>
      <w:r>
        <w:rPr>
          <w:rFonts w:eastAsia="仿宋_GB2312" w:hint="eastAsia"/>
          <w:bCs/>
          <w:sz w:val="24"/>
        </w:rPr>
        <w:t>3</w:t>
      </w:r>
      <w:r>
        <w:rPr>
          <w:rFonts w:eastAsia="仿宋_GB2312" w:hint="eastAsia"/>
          <w:bCs/>
          <w:sz w:val="24"/>
        </w:rPr>
        <w:t>个方面对文本进行了修订，其中：</w:t>
      </w:r>
    </w:p>
    <w:p w14:paraId="16F9F205" w14:textId="77777777" w:rsidR="00126CB1" w:rsidRDefault="005D0D44">
      <w:pPr>
        <w:spacing w:line="360" w:lineRule="auto"/>
        <w:ind w:firstLineChars="200" w:firstLine="480"/>
        <w:rPr>
          <w:rFonts w:eastAsia="仿宋_GB2312"/>
          <w:bCs/>
          <w:sz w:val="24"/>
        </w:rPr>
      </w:pPr>
      <w:r>
        <w:rPr>
          <w:rFonts w:eastAsia="仿宋_GB2312" w:hint="eastAsia"/>
          <w:bCs/>
          <w:sz w:val="24"/>
        </w:rPr>
        <w:lastRenderedPageBreak/>
        <w:t>1</w:t>
      </w:r>
      <w:r>
        <w:rPr>
          <w:rFonts w:eastAsia="仿宋_GB2312" w:hint="eastAsia"/>
          <w:bCs/>
          <w:sz w:val="24"/>
        </w:rPr>
        <w:t>、涉及结构性调整的主要有</w:t>
      </w:r>
      <w:r>
        <w:rPr>
          <w:rFonts w:eastAsia="仿宋_GB2312" w:hint="eastAsia"/>
          <w:bCs/>
          <w:sz w:val="24"/>
        </w:rPr>
        <w:t>4</w:t>
      </w:r>
      <w:r>
        <w:rPr>
          <w:rFonts w:eastAsia="仿宋_GB2312" w:hint="eastAsia"/>
          <w:bCs/>
          <w:sz w:val="24"/>
        </w:rPr>
        <w:t>项：</w:t>
      </w:r>
    </w:p>
    <w:p w14:paraId="29A3E406" w14:textId="77777777" w:rsidR="00126CB1" w:rsidRDefault="005D0D44">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）增加了术语和定义（见</w:t>
      </w:r>
      <w:r>
        <w:rPr>
          <w:rFonts w:eastAsia="仿宋_GB2312" w:hint="eastAsia"/>
          <w:bCs/>
          <w:sz w:val="24"/>
        </w:rPr>
        <w:t>3</w:t>
      </w:r>
      <w:r>
        <w:rPr>
          <w:rFonts w:eastAsia="仿宋_GB2312" w:hint="eastAsia"/>
          <w:bCs/>
          <w:sz w:val="24"/>
        </w:rPr>
        <w:t>）。修订原因：“预冷”、“自发气调”术语的增加能够帮助标准使用者理解该技术环节的意义及操作，也为使用者提供查找便利性。</w:t>
      </w:r>
    </w:p>
    <w:p w14:paraId="078A5D99" w14:textId="77777777" w:rsidR="00126CB1" w:rsidRDefault="005D0D44">
      <w:pPr>
        <w:spacing w:line="360" w:lineRule="auto"/>
        <w:ind w:firstLineChars="200" w:firstLine="480"/>
        <w:rPr>
          <w:rFonts w:ascii="仿宋" w:eastAsia="仿宋" w:hAnsi="仿宋" w:cs="仿宋"/>
          <w:bCs/>
          <w:sz w:val="24"/>
        </w:rPr>
      </w:pPr>
      <w:r>
        <w:rPr>
          <w:rFonts w:ascii="仿宋" w:eastAsia="仿宋" w:hAnsi="仿宋" w:cs="仿宋" w:hint="eastAsia"/>
          <w:bCs/>
          <w:sz w:val="24"/>
        </w:rPr>
        <w:t>（2）删除了果实质量（见2017版的第3章）。修订原因：用于贮藏果品的质量在采收条件及分选时已提出要求，无需单独列入。</w:t>
      </w:r>
    </w:p>
    <w:p w14:paraId="57743A40" w14:textId="77777777" w:rsidR="00126CB1" w:rsidRDefault="005D0D44">
      <w:pPr>
        <w:spacing w:line="360" w:lineRule="auto"/>
        <w:ind w:firstLineChars="200" w:firstLine="480"/>
        <w:rPr>
          <w:rFonts w:ascii="仿宋" w:eastAsia="仿宋" w:hAnsi="仿宋" w:cs="仿宋"/>
          <w:bCs/>
          <w:sz w:val="24"/>
        </w:rPr>
      </w:pPr>
      <w:r>
        <w:rPr>
          <w:rFonts w:ascii="仿宋" w:eastAsia="仿宋" w:hAnsi="仿宋" w:cs="仿宋" w:hint="eastAsia"/>
          <w:bCs/>
          <w:sz w:val="24"/>
        </w:rPr>
        <w:t>（3）增加了采前管理（见4.1）。修订原因：果实贮藏的前提是优质的品质，为此对采前直接影响采后品质的环节提出建议，增加了采前管理（4.1）及采收方法（4.3）的技术要求。</w:t>
      </w:r>
    </w:p>
    <w:p w14:paraId="26C23C21" w14:textId="77777777" w:rsidR="00126CB1" w:rsidRDefault="005D0D44">
      <w:pPr>
        <w:spacing w:line="360" w:lineRule="auto"/>
        <w:ind w:firstLineChars="200" w:firstLine="480"/>
        <w:rPr>
          <w:rFonts w:ascii="仿宋" w:eastAsia="仿宋" w:hAnsi="仿宋" w:cs="仿宋"/>
          <w:bCs/>
          <w:sz w:val="24"/>
        </w:rPr>
      </w:pPr>
      <w:r>
        <w:rPr>
          <w:rFonts w:ascii="仿宋" w:eastAsia="仿宋" w:hAnsi="仿宋" w:cs="仿宋" w:hint="eastAsia"/>
          <w:bCs/>
          <w:sz w:val="24"/>
        </w:rPr>
        <w:t>（4）增加了冷藏方式（见7）。修订原因：考虑到鲜杏在生产中的不同需求（加工原料短期储备、冷藏保鲜、冷链物流），提出了不同贮藏方式下的具体技术参数。</w:t>
      </w:r>
    </w:p>
    <w:p w14:paraId="6E63F972" w14:textId="77777777" w:rsidR="00126CB1" w:rsidRDefault="005D0D44">
      <w:pPr>
        <w:spacing w:line="360" w:lineRule="auto"/>
        <w:ind w:firstLineChars="200" w:firstLine="480"/>
        <w:rPr>
          <w:rFonts w:eastAsia="仿宋_GB2312"/>
          <w:bCs/>
          <w:sz w:val="24"/>
        </w:rPr>
      </w:pPr>
      <w:r>
        <w:rPr>
          <w:rFonts w:eastAsia="仿宋_GB2312" w:hint="eastAsia"/>
          <w:bCs/>
          <w:sz w:val="24"/>
        </w:rPr>
        <w:t>2</w:t>
      </w:r>
      <w:r>
        <w:rPr>
          <w:rFonts w:eastAsia="仿宋_GB2312" w:hint="eastAsia"/>
          <w:bCs/>
          <w:sz w:val="24"/>
        </w:rPr>
        <w:t>、涉及表述与编辑性修改的主要有</w:t>
      </w:r>
      <w:r>
        <w:rPr>
          <w:rFonts w:eastAsia="仿宋_GB2312" w:hint="eastAsia"/>
          <w:bCs/>
          <w:sz w:val="24"/>
        </w:rPr>
        <w:t>2</w:t>
      </w:r>
      <w:r>
        <w:rPr>
          <w:rFonts w:eastAsia="仿宋_GB2312" w:hint="eastAsia"/>
          <w:bCs/>
          <w:sz w:val="24"/>
        </w:rPr>
        <w:t>项：</w:t>
      </w:r>
    </w:p>
    <w:p w14:paraId="0565556B" w14:textId="77777777" w:rsidR="00126CB1" w:rsidRDefault="005D0D44">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）更改了出库（见</w:t>
      </w:r>
      <w:r>
        <w:rPr>
          <w:rFonts w:eastAsia="仿宋_GB2312" w:hint="eastAsia"/>
          <w:bCs/>
          <w:sz w:val="24"/>
        </w:rPr>
        <w:t>9</w:t>
      </w:r>
      <w:r>
        <w:rPr>
          <w:rFonts w:eastAsia="仿宋_GB2312" w:hint="eastAsia"/>
          <w:bCs/>
          <w:sz w:val="24"/>
        </w:rPr>
        <w:t>，</w:t>
      </w:r>
      <w:r>
        <w:rPr>
          <w:rFonts w:eastAsia="仿宋_GB2312" w:hint="eastAsia"/>
          <w:bCs/>
          <w:sz w:val="24"/>
        </w:rPr>
        <w:t>2017</w:t>
      </w:r>
      <w:r>
        <w:rPr>
          <w:rFonts w:eastAsia="仿宋_GB2312" w:hint="eastAsia"/>
          <w:bCs/>
          <w:sz w:val="24"/>
        </w:rPr>
        <w:t>年版的第</w:t>
      </w:r>
      <w:r>
        <w:rPr>
          <w:rFonts w:eastAsia="仿宋_GB2312" w:hint="eastAsia"/>
          <w:bCs/>
          <w:sz w:val="24"/>
        </w:rPr>
        <w:t>8</w:t>
      </w:r>
      <w:r>
        <w:rPr>
          <w:rFonts w:eastAsia="仿宋_GB2312" w:hint="eastAsia"/>
          <w:bCs/>
          <w:sz w:val="24"/>
        </w:rPr>
        <w:t>章）。修订原因：删除了冷藏期的要求，前述冷藏方式已根据不同生产需求提供贮藏期。</w:t>
      </w:r>
    </w:p>
    <w:p w14:paraId="24E34181" w14:textId="77777777" w:rsidR="00126CB1" w:rsidRDefault="005D0D44">
      <w:pPr>
        <w:spacing w:line="360" w:lineRule="auto"/>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）更改了冷藏要求（见</w:t>
      </w:r>
      <w:r>
        <w:rPr>
          <w:rFonts w:eastAsia="仿宋_GB2312" w:hint="eastAsia"/>
          <w:bCs/>
          <w:sz w:val="24"/>
        </w:rPr>
        <w:t>8</w:t>
      </w:r>
      <w:r>
        <w:rPr>
          <w:rFonts w:eastAsia="仿宋_GB2312" w:hint="eastAsia"/>
          <w:bCs/>
          <w:sz w:val="24"/>
        </w:rPr>
        <w:t>，</w:t>
      </w:r>
      <w:r>
        <w:rPr>
          <w:rFonts w:eastAsia="仿宋_GB2312" w:hint="eastAsia"/>
          <w:bCs/>
          <w:sz w:val="24"/>
        </w:rPr>
        <w:t>2017</w:t>
      </w:r>
      <w:r>
        <w:rPr>
          <w:rFonts w:eastAsia="仿宋_GB2312" w:hint="eastAsia"/>
          <w:bCs/>
          <w:sz w:val="24"/>
        </w:rPr>
        <w:t>年版的第</w:t>
      </w:r>
      <w:r>
        <w:rPr>
          <w:rFonts w:eastAsia="仿宋_GB2312" w:hint="eastAsia"/>
          <w:bCs/>
          <w:sz w:val="24"/>
        </w:rPr>
        <w:t>7</w:t>
      </w:r>
      <w:r>
        <w:rPr>
          <w:rFonts w:eastAsia="仿宋_GB2312" w:hint="eastAsia"/>
          <w:bCs/>
          <w:sz w:val="24"/>
        </w:rPr>
        <w:t>章）。修订原因：针对生产中出现入库时未按技术规范预留通道，垛间未留间距，库内通风不良、冷库化霜不及时，导致品温过高，加速了鲜杏自身生理衰老，增加了病害的发生和侵染。为此，冷藏管理中增加通风换气（</w:t>
      </w:r>
      <w:r>
        <w:rPr>
          <w:rFonts w:eastAsia="仿宋_GB2312" w:hint="eastAsia"/>
          <w:bCs/>
          <w:sz w:val="24"/>
        </w:rPr>
        <w:t>8.5</w:t>
      </w:r>
      <w:r>
        <w:rPr>
          <w:rFonts w:eastAsia="仿宋_GB2312" w:hint="eastAsia"/>
          <w:bCs/>
          <w:sz w:val="24"/>
        </w:rPr>
        <w:t>）、设施管理（</w:t>
      </w:r>
      <w:r>
        <w:rPr>
          <w:rFonts w:eastAsia="仿宋_GB2312" w:hint="eastAsia"/>
          <w:bCs/>
          <w:sz w:val="24"/>
        </w:rPr>
        <w:t>8.6</w:t>
      </w:r>
      <w:r>
        <w:rPr>
          <w:rFonts w:eastAsia="仿宋_GB2312" w:hint="eastAsia"/>
          <w:bCs/>
          <w:sz w:val="24"/>
        </w:rPr>
        <w:t>）环节技术的具体要求。</w:t>
      </w:r>
    </w:p>
    <w:p w14:paraId="50F2BE7F" w14:textId="77777777" w:rsidR="00126CB1" w:rsidRDefault="005D0D44">
      <w:pPr>
        <w:spacing w:line="360" w:lineRule="auto"/>
        <w:ind w:firstLineChars="200" w:firstLine="480"/>
        <w:rPr>
          <w:rFonts w:ascii="仿宋" w:eastAsia="仿宋" w:hAnsi="仿宋" w:cs="仿宋"/>
          <w:bCs/>
          <w:sz w:val="24"/>
        </w:rPr>
      </w:pPr>
      <w:r>
        <w:rPr>
          <w:rFonts w:ascii="仿宋" w:eastAsia="仿宋" w:hAnsi="仿宋" w:cs="仿宋" w:hint="eastAsia"/>
          <w:bCs/>
          <w:sz w:val="24"/>
        </w:rPr>
        <w:t>3、涉及到的技术指标主要有2项：</w:t>
      </w:r>
    </w:p>
    <w:p w14:paraId="41C9AC27" w14:textId="77777777" w:rsidR="00126CB1" w:rsidRDefault="005D0D44">
      <w:pPr>
        <w:spacing w:line="360" w:lineRule="auto"/>
        <w:ind w:firstLineChars="200" w:firstLine="480"/>
        <w:rPr>
          <w:rFonts w:ascii="仿宋" w:eastAsia="仿宋" w:hAnsi="仿宋" w:cs="仿宋"/>
          <w:bCs/>
          <w:sz w:val="24"/>
        </w:rPr>
      </w:pPr>
      <w:r>
        <w:rPr>
          <w:rFonts w:ascii="仿宋" w:eastAsia="仿宋" w:hAnsi="仿宋" w:cs="仿宋" w:hint="eastAsia"/>
          <w:sz w:val="24"/>
        </w:rPr>
        <w:t>（1）温度（8.1）</w:t>
      </w:r>
    </w:p>
    <w:p w14:paraId="2149256F" w14:textId="77777777" w:rsidR="00126CB1" w:rsidRDefault="005D0D44">
      <w:pPr>
        <w:widowControl/>
        <w:spacing w:line="360" w:lineRule="auto"/>
        <w:ind w:firstLineChars="200" w:firstLine="480"/>
        <w:rPr>
          <w:rFonts w:ascii="仿宋" w:eastAsia="仿宋" w:hAnsi="仿宋" w:cs="仿宋"/>
          <w:bCs/>
          <w:sz w:val="24"/>
        </w:rPr>
      </w:pPr>
      <w:r>
        <w:rPr>
          <w:rFonts w:ascii="仿宋" w:eastAsia="仿宋" w:hAnsi="仿宋" w:cs="仿宋" w:hint="eastAsia"/>
          <w:bCs/>
          <w:sz w:val="24"/>
        </w:rPr>
        <w:t>修订原因:适宜贮藏温度应不同果蔬种类及不同贮藏设施条件及目的而不同，较低的温度可有效延缓果蔬的衰老，保持品质，但需要考虑果品受胁迫的临界温度。为此本标准依据项目组前期研究成果，考虑不同品种之间的贮藏特性，及近几年年冷库制冷性能的提升，将原标准中冷藏温度0 ℃～1 ℃，修订为0℃±0.5℃。</w:t>
      </w:r>
    </w:p>
    <w:p w14:paraId="67BCE41F" w14:textId="77777777" w:rsidR="00126CB1" w:rsidRDefault="005D0D44">
      <w:pPr>
        <w:pStyle w:val="af5"/>
        <w:spacing w:line="360" w:lineRule="auto"/>
        <w:ind w:firstLine="480"/>
        <w:outlineLvl w:val="1"/>
        <w:rPr>
          <w:rFonts w:ascii="仿宋" w:eastAsia="仿宋" w:hAnsi="仿宋" w:cs="仿宋"/>
          <w:sz w:val="24"/>
        </w:rPr>
      </w:pPr>
      <w:r>
        <w:rPr>
          <w:rFonts w:ascii="仿宋" w:eastAsia="仿宋" w:hAnsi="仿宋" w:cs="仿宋" w:hint="eastAsia"/>
          <w:bCs/>
          <w:sz w:val="24"/>
          <w:lang w:eastAsia="zh-CN"/>
        </w:rPr>
        <w:t>试验验证分析：</w:t>
      </w:r>
    </w:p>
    <w:p w14:paraId="3E4978ED" w14:textId="77777777" w:rsidR="00126CB1" w:rsidRDefault="005D0D44">
      <w:pPr>
        <w:spacing w:line="360" w:lineRule="auto"/>
        <w:ind w:firstLineChars="200" w:firstLine="480"/>
        <w:rPr>
          <w:rFonts w:ascii="仿宋" w:eastAsia="仿宋" w:hAnsi="仿宋" w:cs="仿宋"/>
          <w:sz w:val="24"/>
        </w:rPr>
      </w:pPr>
      <w:r>
        <w:rPr>
          <w:rFonts w:ascii="仿宋" w:eastAsia="仿宋" w:hAnsi="仿宋" w:cs="仿宋" w:hint="eastAsia"/>
          <w:sz w:val="24"/>
        </w:rPr>
        <w:t>试验选取我省近年主栽品种凯特杏、哈密杏，香白杏，硬条京杏。预冷后，0.02 mm厚聚乙烯塑料薄膜保鲜袋包装，分别置于0±0.5℃、-0.5 ℃±0.5℃、</w:t>
      </w:r>
      <w:r>
        <w:rPr>
          <w:rFonts w:ascii="仿宋" w:eastAsia="仿宋" w:hAnsi="仿宋" w:cs="仿宋" w:hint="eastAsia"/>
          <w:sz w:val="24"/>
        </w:rPr>
        <w:lastRenderedPageBreak/>
        <w:t>4℃±0.5℃、8℃±0.5℃不同温度下贮藏。感官品质测定样品采用随机采样法选取（下表为凯特杏主要品质数据）。</w:t>
      </w:r>
    </w:p>
    <w:p w14:paraId="1D7A25AD" w14:textId="77777777" w:rsidR="00126CB1" w:rsidRDefault="005D0D44">
      <w:pPr>
        <w:spacing w:line="360" w:lineRule="auto"/>
        <w:jc w:val="center"/>
        <w:rPr>
          <w:rFonts w:ascii="仿宋" w:eastAsia="仿宋" w:hAnsi="仿宋" w:cs="仿宋"/>
          <w:sz w:val="24"/>
        </w:rPr>
      </w:pPr>
      <w:r>
        <w:rPr>
          <w:rFonts w:ascii="仿宋" w:eastAsia="仿宋" w:hAnsi="仿宋" w:cs="仿宋" w:hint="eastAsia"/>
          <w:sz w:val="24"/>
        </w:rPr>
        <w:t>不同贮藏温度下凯特杏果实外观及品质的变化</w:t>
      </w:r>
    </w:p>
    <w:tbl>
      <w:tblPr>
        <w:tblW w:w="8352" w:type="dxa"/>
        <w:jc w:val="center"/>
        <w:tblLayout w:type="fixed"/>
        <w:tblCellMar>
          <w:left w:w="0" w:type="dxa"/>
          <w:right w:w="0" w:type="dxa"/>
        </w:tblCellMar>
        <w:tblLook w:val="04A0" w:firstRow="1" w:lastRow="0" w:firstColumn="1" w:lastColumn="0" w:noHBand="0" w:noVBand="1"/>
      </w:tblPr>
      <w:tblGrid>
        <w:gridCol w:w="674"/>
        <w:gridCol w:w="870"/>
        <w:gridCol w:w="1380"/>
        <w:gridCol w:w="1125"/>
        <w:gridCol w:w="1093"/>
        <w:gridCol w:w="3210"/>
      </w:tblGrid>
      <w:tr w:rsidR="00126CB1" w14:paraId="7CCC45F8" w14:textId="77777777">
        <w:trPr>
          <w:cantSplit/>
          <w:trHeight w:val="615"/>
          <w:jc w:val="center"/>
        </w:trPr>
        <w:tc>
          <w:tcPr>
            <w:tcW w:w="674" w:type="dxa"/>
            <w:tcBorders>
              <w:top w:val="single" w:sz="4" w:space="0" w:color="auto"/>
              <w:left w:val="nil"/>
              <w:bottom w:val="single" w:sz="4" w:space="0" w:color="auto"/>
              <w:right w:val="nil"/>
            </w:tcBorders>
            <w:vAlign w:val="center"/>
          </w:tcPr>
          <w:p w14:paraId="1061B731" w14:textId="77777777" w:rsidR="00126CB1" w:rsidRDefault="005D0D44">
            <w:pPr>
              <w:jc w:val="center"/>
              <w:rPr>
                <w:rFonts w:ascii="仿宋" w:eastAsia="仿宋" w:hAnsi="仿宋" w:cs="仿宋"/>
                <w:bCs/>
                <w:szCs w:val="21"/>
              </w:rPr>
            </w:pPr>
            <w:r>
              <w:rPr>
                <w:rFonts w:ascii="仿宋" w:eastAsia="仿宋" w:hAnsi="仿宋" w:cs="仿宋" w:hint="eastAsia"/>
                <w:bCs/>
                <w:szCs w:val="21"/>
              </w:rPr>
              <w:t>处理</w:t>
            </w:r>
          </w:p>
        </w:tc>
        <w:tc>
          <w:tcPr>
            <w:tcW w:w="870" w:type="dxa"/>
            <w:tcBorders>
              <w:top w:val="single" w:sz="4" w:space="0" w:color="auto"/>
              <w:left w:val="nil"/>
              <w:bottom w:val="single" w:sz="4" w:space="0" w:color="auto"/>
              <w:right w:val="nil"/>
            </w:tcBorders>
            <w:vAlign w:val="center"/>
          </w:tcPr>
          <w:p w14:paraId="5A3E3A04" w14:textId="77777777" w:rsidR="00126CB1" w:rsidRDefault="005D0D44">
            <w:pPr>
              <w:ind w:firstLineChars="95" w:firstLine="199"/>
              <w:rPr>
                <w:rFonts w:ascii="仿宋" w:eastAsia="仿宋" w:hAnsi="仿宋" w:cs="仿宋"/>
                <w:bCs/>
                <w:szCs w:val="21"/>
              </w:rPr>
            </w:pPr>
            <w:r>
              <w:rPr>
                <w:rFonts w:ascii="仿宋" w:eastAsia="仿宋" w:hAnsi="仿宋" w:cs="仿宋" w:hint="eastAsia"/>
                <w:bCs/>
                <w:szCs w:val="21"/>
              </w:rPr>
              <w:t>贮期</w:t>
            </w:r>
          </w:p>
          <w:p w14:paraId="3349E424" w14:textId="77777777" w:rsidR="00126CB1" w:rsidRDefault="005D0D44">
            <w:pPr>
              <w:ind w:firstLineChars="95" w:firstLine="199"/>
              <w:rPr>
                <w:rFonts w:ascii="仿宋" w:eastAsia="仿宋" w:hAnsi="仿宋" w:cs="仿宋"/>
                <w:bCs/>
                <w:szCs w:val="21"/>
              </w:rPr>
            </w:pPr>
            <w:r>
              <w:rPr>
                <w:rFonts w:ascii="仿宋" w:eastAsia="仿宋" w:hAnsi="仿宋" w:cs="仿宋"/>
                <w:bCs/>
                <w:szCs w:val="21"/>
              </w:rPr>
              <w:t>/</w:t>
            </w:r>
            <w:r>
              <w:rPr>
                <w:rFonts w:ascii="仿宋" w:eastAsia="仿宋" w:hAnsi="仿宋" w:cs="仿宋" w:hint="eastAsia"/>
                <w:szCs w:val="21"/>
              </w:rPr>
              <w:t>周</w:t>
            </w:r>
          </w:p>
        </w:tc>
        <w:tc>
          <w:tcPr>
            <w:tcW w:w="1380" w:type="dxa"/>
            <w:tcBorders>
              <w:top w:val="single" w:sz="4" w:space="0" w:color="auto"/>
              <w:left w:val="nil"/>
              <w:bottom w:val="single" w:sz="4" w:space="0" w:color="auto"/>
              <w:right w:val="nil"/>
            </w:tcBorders>
            <w:vAlign w:val="center"/>
          </w:tcPr>
          <w:p w14:paraId="7174EAFC" w14:textId="77777777" w:rsidR="00126CB1" w:rsidRDefault="005D0D44">
            <w:pPr>
              <w:jc w:val="center"/>
              <w:rPr>
                <w:rFonts w:ascii="仿宋" w:eastAsia="仿宋" w:hAnsi="仿宋" w:cs="仿宋"/>
                <w:bCs/>
                <w:szCs w:val="21"/>
                <w:lang w:val="fr-FR"/>
              </w:rPr>
            </w:pPr>
            <w:r>
              <w:rPr>
                <w:rFonts w:ascii="仿宋" w:eastAsia="仿宋" w:hAnsi="仿宋" w:cs="仿宋" w:hint="eastAsia"/>
                <w:bCs/>
                <w:szCs w:val="21"/>
              </w:rPr>
              <w:t>可溶性固形物</w:t>
            </w:r>
            <w:r>
              <w:rPr>
                <w:rFonts w:ascii="仿宋" w:eastAsia="仿宋" w:hAnsi="仿宋" w:cs="仿宋" w:hint="eastAsia"/>
                <w:bCs/>
                <w:szCs w:val="21"/>
                <w:lang w:val="fr-FR"/>
              </w:rPr>
              <w:t>/%</w:t>
            </w:r>
          </w:p>
        </w:tc>
        <w:tc>
          <w:tcPr>
            <w:tcW w:w="1125" w:type="dxa"/>
            <w:tcBorders>
              <w:top w:val="single" w:sz="4" w:space="0" w:color="auto"/>
              <w:left w:val="nil"/>
              <w:bottom w:val="single" w:sz="4" w:space="0" w:color="auto"/>
              <w:right w:val="nil"/>
            </w:tcBorders>
            <w:vAlign w:val="center"/>
          </w:tcPr>
          <w:p w14:paraId="1DEB280D" w14:textId="77777777" w:rsidR="00126CB1" w:rsidRDefault="005D0D44">
            <w:pPr>
              <w:jc w:val="center"/>
              <w:rPr>
                <w:rFonts w:ascii="仿宋" w:eastAsia="仿宋" w:hAnsi="仿宋" w:cs="仿宋"/>
                <w:bCs/>
                <w:szCs w:val="21"/>
              </w:rPr>
            </w:pPr>
            <w:r>
              <w:rPr>
                <w:rFonts w:ascii="仿宋" w:eastAsia="仿宋" w:hAnsi="仿宋" w:cs="仿宋" w:hint="eastAsia"/>
                <w:bCs/>
                <w:szCs w:val="21"/>
              </w:rPr>
              <w:t>可滴定酸</w:t>
            </w:r>
          </w:p>
          <w:p w14:paraId="39A023DF" w14:textId="77777777" w:rsidR="00126CB1" w:rsidRDefault="005D0D44">
            <w:pPr>
              <w:jc w:val="center"/>
              <w:rPr>
                <w:rFonts w:ascii="仿宋" w:eastAsia="仿宋" w:hAnsi="仿宋" w:cs="仿宋"/>
                <w:bCs/>
                <w:szCs w:val="21"/>
              </w:rPr>
            </w:pPr>
            <w:r>
              <w:rPr>
                <w:rFonts w:ascii="仿宋" w:eastAsia="仿宋" w:hAnsi="仿宋" w:cs="仿宋" w:hint="eastAsia"/>
                <w:bCs/>
                <w:szCs w:val="21"/>
              </w:rPr>
              <w:t>/%</w:t>
            </w:r>
          </w:p>
        </w:tc>
        <w:tc>
          <w:tcPr>
            <w:tcW w:w="1093" w:type="dxa"/>
            <w:tcBorders>
              <w:top w:val="single" w:sz="4" w:space="0" w:color="auto"/>
              <w:left w:val="nil"/>
              <w:bottom w:val="single" w:sz="4" w:space="0" w:color="auto"/>
              <w:right w:val="nil"/>
            </w:tcBorders>
            <w:vAlign w:val="center"/>
          </w:tcPr>
          <w:p w14:paraId="7CB56AA5" w14:textId="77777777" w:rsidR="00126CB1" w:rsidRDefault="005D0D44">
            <w:pPr>
              <w:jc w:val="center"/>
              <w:rPr>
                <w:rFonts w:ascii="仿宋" w:eastAsia="仿宋" w:hAnsi="仿宋" w:cs="仿宋"/>
                <w:bCs/>
                <w:szCs w:val="21"/>
              </w:rPr>
            </w:pPr>
            <w:r>
              <w:rPr>
                <w:rFonts w:ascii="仿宋" w:eastAsia="仿宋" w:hAnsi="仿宋" w:cs="仿宋" w:hint="eastAsia"/>
                <w:bCs/>
                <w:szCs w:val="21"/>
              </w:rPr>
              <w:t>硬度</w:t>
            </w:r>
          </w:p>
          <w:p w14:paraId="03F81462" w14:textId="77777777" w:rsidR="00126CB1" w:rsidRDefault="005D0D44">
            <w:pPr>
              <w:jc w:val="center"/>
              <w:rPr>
                <w:rFonts w:ascii="仿宋" w:eastAsia="仿宋" w:hAnsi="仿宋" w:cs="仿宋"/>
                <w:bCs/>
                <w:szCs w:val="21"/>
              </w:rPr>
            </w:pPr>
            <w:r>
              <w:rPr>
                <w:rFonts w:ascii="仿宋" w:eastAsia="仿宋" w:hAnsi="仿宋" w:cs="仿宋" w:hint="eastAsia"/>
                <w:bCs/>
                <w:szCs w:val="21"/>
              </w:rPr>
              <w:t>/cm</w:t>
            </w:r>
            <w:r>
              <w:rPr>
                <w:rFonts w:ascii="仿宋" w:eastAsia="仿宋" w:hAnsi="仿宋" w:cs="仿宋" w:hint="eastAsia"/>
                <w:bCs/>
                <w:szCs w:val="21"/>
                <w:vertAlign w:val="superscript"/>
              </w:rPr>
              <w:t>2</w:t>
            </w:r>
            <w:r>
              <w:rPr>
                <w:rFonts w:ascii="仿宋" w:eastAsia="仿宋" w:hAnsi="仿宋" w:cs="仿宋" w:hint="eastAsia"/>
                <w:bCs/>
                <w:szCs w:val="21"/>
              </w:rPr>
              <w:t>/kg</w:t>
            </w:r>
          </w:p>
        </w:tc>
        <w:tc>
          <w:tcPr>
            <w:tcW w:w="3210" w:type="dxa"/>
            <w:tcBorders>
              <w:top w:val="single" w:sz="4" w:space="0" w:color="auto"/>
              <w:left w:val="nil"/>
              <w:bottom w:val="single" w:sz="4" w:space="0" w:color="auto"/>
              <w:right w:val="nil"/>
            </w:tcBorders>
            <w:vAlign w:val="center"/>
          </w:tcPr>
          <w:p w14:paraId="05ECE8A8" w14:textId="77777777" w:rsidR="00126CB1" w:rsidRDefault="005D0D44">
            <w:pPr>
              <w:ind w:firstLine="422"/>
              <w:jc w:val="center"/>
              <w:rPr>
                <w:rFonts w:ascii="仿宋" w:eastAsia="仿宋" w:hAnsi="仿宋" w:cs="仿宋"/>
                <w:bCs/>
                <w:szCs w:val="21"/>
              </w:rPr>
            </w:pPr>
            <w:r>
              <w:rPr>
                <w:rFonts w:ascii="仿宋" w:eastAsia="仿宋" w:hAnsi="仿宋" w:cs="仿宋" w:hint="eastAsia"/>
                <w:bCs/>
                <w:szCs w:val="21"/>
              </w:rPr>
              <w:t>外观、质地、风味</w:t>
            </w:r>
          </w:p>
        </w:tc>
      </w:tr>
      <w:tr w:rsidR="00126CB1" w14:paraId="595CECBE" w14:textId="77777777">
        <w:trPr>
          <w:trHeight w:val="459"/>
          <w:jc w:val="center"/>
        </w:trPr>
        <w:tc>
          <w:tcPr>
            <w:tcW w:w="674" w:type="dxa"/>
            <w:tcBorders>
              <w:top w:val="single" w:sz="4" w:space="0" w:color="auto"/>
              <w:left w:val="nil"/>
              <w:right w:val="nil"/>
            </w:tcBorders>
            <w:noWrap/>
            <w:vAlign w:val="center"/>
          </w:tcPr>
          <w:p w14:paraId="63449ABD" w14:textId="77777777" w:rsidR="00126CB1" w:rsidRDefault="005D0D44">
            <w:pPr>
              <w:jc w:val="center"/>
              <w:rPr>
                <w:rFonts w:ascii="仿宋" w:eastAsia="仿宋" w:hAnsi="仿宋" w:cs="仿宋"/>
                <w:szCs w:val="21"/>
              </w:rPr>
            </w:pPr>
            <w:r>
              <w:rPr>
                <w:rFonts w:ascii="仿宋" w:eastAsia="仿宋" w:hAnsi="仿宋" w:cs="仿宋" w:hint="eastAsia"/>
                <w:szCs w:val="21"/>
              </w:rPr>
              <w:t>8℃</w:t>
            </w:r>
          </w:p>
        </w:tc>
        <w:tc>
          <w:tcPr>
            <w:tcW w:w="870" w:type="dxa"/>
            <w:tcBorders>
              <w:top w:val="single" w:sz="4" w:space="0" w:color="auto"/>
              <w:left w:val="nil"/>
              <w:right w:val="nil"/>
            </w:tcBorders>
            <w:vAlign w:val="center"/>
          </w:tcPr>
          <w:p w14:paraId="1BDD85FC" w14:textId="77777777" w:rsidR="00126CB1" w:rsidRDefault="005D0D44">
            <w:pPr>
              <w:jc w:val="center"/>
              <w:rPr>
                <w:rFonts w:ascii="仿宋" w:eastAsia="仿宋" w:hAnsi="仿宋" w:cs="仿宋"/>
                <w:szCs w:val="21"/>
              </w:rPr>
            </w:pPr>
            <w:r>
              <w:rPr>
                <w:rFonts w:ascii="仿宋" w:eastAsia="仿宋" w:hAnsi="仿宋" w:cs="仿宋" w:hint="eastAsia"/>
                <w:szCs w:val="21"/>
              </w:rPr>
              <w:t>3</w:t>
            </w:r>
          </w:p>
        </w:tc>
        <w:tc>
          <w:tcPr>
            <w:tcW w:w="1380" w:type="dxa"/>
            <w:tcBorders>
              <w:top w:val="single" w:sz="4" w:space="0" w:color="auto"/>
              <w:left w:val="nil"/>
              <w:right w:val="nil"/>
            </w:tcBorders>
            <w:noWrap/>
            <w:vAlign w:val="center"/>
          </w:tcPr>
          <w:p w14:paraId="1F797580" w14:textId="77777777" w:rsidR="00126CB1" w:rsidRDefault="005D0D44">
            <w:pPr>
              <w:jc w:val="center"/>
              <w:rPr>
                <w:rFonts w:ascii="仿宋" w:eastAsia="仿宋" w:hAnsi="仿宋" w:cs="仿宋"/>
                <w:szCs w:val="21"/>
              </w:rPr>
            </w:pPr>
            <w:r>
              <w:rPr>
                <w:rFonts w:ascii="仿宋" w:eastAsia="仿宋" w:hAnsi="仿宋" w:cs="仿宋" w:hint="eastAsia"/>
                <w:szCs w:val="21"/>
              </w:rPr>
              <w:t>9.3</w:t>
            </w:r>
          </w:p>
        </w:tc>
        <w:tc>
          <w:tcPr>
            <w:tcW w:w="1125" w:type="dxa"/>
            <w:tcBorders>
              <w:top w:val="single" w:sz="4" w:space="0" w:color="auto"/>
              <w:left w:val="nil"/>
              <w:right w:val="nil"/>
            </w:tcBorders>
            <w:vAlign w:val="center"/>
          </w:tcPr>
          <w:p w14:paraId="7616E8B2" w14:textId="77777777" w:rsidR="00126CB1" w:rsidRDefault="005D0D44">
            <w:pPr>
              <w:ind w:firstLine="420"/>
              <w:rPr>
                <w:rFonts w:ascii="仿宋" w:eastAsia="仿宋" w:hAnsi="仿宋" w:cs="仿宋"/>
                <w:szCs w:val="21"/>
              </w:rPr>
            </w:pPr>
            <w:r>
              <w:rPr>
                <w:rFonts w:ascii="仿宋" w:eastAsia="仿宋" w:hAnsi="仿宋" w:cs="仿宋" w:hint="eastAsia"/>
                <w:szCs w:val="21"/>
              </w:rPr>
              <w:t>1.34</w:t>
            </w:r>
          </w:p>
        </w:tc>
        <w:tc>
          <w:tcPr>
            <w:tcW w:w="1093" w:type="dxa"/>
            <w:tcBorders>
              <w:top w:val="single" w:sz="4" w:space="0" w:color="auto"/>
              <w:left w:val="nil"/>
              <w:right w:val="nil"/>
            </w:tcBorders>
            <w:vAlign w:val="center"/>
          </w:tcPr>
          <w:p w14:paraId="40F50CC8" w14:textId="77777777" w:rsidR="00126CB1" w:rsidRDefault="005D0D44">
            <w:pPr>
              <w:jc w:val="center"/>
              <w:rPr>
                <w:rFonts w:ascii="仿宋" w:eastAsia="仿宋" w:hAnsi="仿宋" w:cs="仿宋"/>
                <w:szCs w:val="21"/>
              </w:rPr>
            </w:pPr>
            <w:r>
              <w:rPr>
                <w:rFonts w:ascii="仿宋" w:eastAsia="仿宋" w:hAnsi="仿宋" w:cs="仿宋" w:hint="eastAsia"/>
                <w:szCs w:val="21"/>
              </w:rPr>
              <w:t>0.77</w:t>
            </w:r>
          </w:p>
        </w:tc>
        <w:tc>
          <w:tcPr>
            <w:tcW w:w="3210" w:type="dxa"/>
            <w:tcBorders>
              <w:top w:val="single" w:sz="4" w:space="0" w:color="auto"/>
              <w:left w:val="nil"/>
              <w:right w:val="nil"/>
            </w:tcBorders>
            <w:noWrap/>
            <w:vAlign w:val="center"/>
          </w:tcPr>
          <w:p w14:paraId="2BCA031C" w14:textId="77777777" w:rsidR="00126CB1" w:rsidRDefault="005D0D44">
            <w:pPr>
              <w:rPr>
                <w:rFonts w:ascii="仿宋" w:eastAsia="仿宋" w:hAnsi="仿宋" w:cs="仿宋"/>
                <w:szCs w:val="21"/>
              </w:rPr>
            </w:pPr>
            <w:r>
              <w:rPr>
                <w:rFonts w:ascii="仿宋" w:eastAsia="仿宋" w:hAnsi="仿宋" w:cs="仿宋" w:hint="eastAsia"/>
                <w:szCs w:val="21"/>
              </w:rPr>
              <w:t>果皮转黄，果肉稀软，近核果肉轻微衰败，酸味变淡，杏味变淡。</w:t>
            </w:r>
          </w:p>
        </w:tc>
      </w:tr>
      <w:tr w:rsidR="00126CB1" w14:paraId="0B7D0830" w14:textId="77777777">
        <w:trPr>
          <w:trHeight w:val="476"/>
          <w:jc w:val="center"/>
        </w:trPr>
        <w:tc>
          <w:tcPr>
            <w:tcW w:w="674" w:type="dxa"/>
            <w:tcBorders>
              <w:top w:val="nil"/>
              <w:left w:val="nil"/>
              <w:right w:val="nil"/>
            </w:tcBorders>
            <w:noWrap/>
            <w:vAlign w:val="center"/>
          </w:tcPr>
          <w:p w14:paraId="7B24A722" w14:textId="77777777" w:rsidR="00126CB1" w:rsidRDefault="005D0D44">
            <w:pPr>
              <w:jc w:val="center"/>
              <w:rPr>
                <w:rFonts w:ascii="仿宋" w:eastAsia="仿宋" w:hAnsi="仿宋" w:cs="仿宋"/>
                <w:szCs w:val="21"/>
              </w:rPr>
            </w:pPr>
            <w:r>
              <w:rPr>
                <w:rFonts w:ascii="仿宋" w:eastAsia="仿宋" w:hAnsi="仿宋" w:cs="仿宋" w:hint="eastAsia"/>
                <w:szCs w:val="21"/>
              </w:rPr>
              <w:t>4℃</w:t>
            </w:r>
          </w:p>
        </w:tc>
        <w:tc>
          <w:tcPr>
            <w:tcW w:w="870" w:type="dxa"/>
            <w:tcBorders>
              <w:top w:val="nil"/>
              <w:left w:val="nil"/>
              <w:right w:val="nil"/>
            </w:tcBorders>
            <w:vAlign w:val="center"/>
          </w:tcPr>
          <w:p w14:paraId="613FE371" w14:textId="77777777" w:rsidR="00126CB1" w:rsidRDefault="005D0D44">
            <w:pPr>
              <w:jc w:val="center"/>
              <w:rPr>
                <w:rFonts w:ascii="仿宋" w:eastAsia="仿宋" w:hAnsi="仿宋" w:cs="仿宋"/>
                <w:szCs w:val="21"/>
              </w:rPr>
            </w:pPr>
            <w:r>
              <w:rPr>
                <w:rFonts w:ascii="仿宋" w:eastAsia="仿宋" w:hAnsi="仿宋" w:cs="仿宋" w:hint="eastAsia"/>
                <w:szCs w:val="21"/>
              </w:rPr>
              <w:t>6</w:t>
            </w:r>
          </w:p>
        </w:tc>
        <w:tc>
          <w:tcPr>
            <w:tcW w:w="1380" w:type="dxa"/>
            <w:tcBorders>
              <w:top w:val="nil"/>
              <w:left w:val="nil"/>
              <w:right w:val="nil"/>
            </w:tcBorders>
            <w:noWrap/>
            <w:vAlign w:val="center"/>
          </w:tcPr>
          <w:p w14:paraId="710CCFDA" w14:textId="77777777" w:rsidR="00126CB1" w:rsidRDefault="005D0D44">
            <w:pPr>
              <w:ind w:firstLine="420"/>
              <w:rPr>
                <w:rFonts w:ascii="仿宋" w:eastAsia="仿宋" w:hAnsi="仿宋" w:cs="仿宋"/>
                <w:szCs w:val="21"/>
              </w:rPr>
            </w:pPr>
            <w:r>
              <w:rPr>
                <w:rFonts w:ascii="仿宋" w:eastAsia="仿宋" w:hAnsi="仿宋" w:cs="仿宋" w:hint="eastAsia"/>
                <w:szCs w:val="21"/>
              </w:rPr>
              <w:t>10.5</w:t>
            </w:r>
          </w:p>
        </w:tc>
        <w:tc>
          <w:tcPr>
            <w:tcW w:w="1125" w:type="dxa"/>
            <w:tcBorders>
              <w:top w:val="nil"/>
              <w:left w:val="nil"/>
              <w:right w:val="nil"/>
            </w:tcBorders>
            <w:vAlign w:val="center"/>
          </w:tcPr>
          <w:p w14:paraId="1826C981" w14:textId="77777777" w:rsidR="00126CB1" w:rsidRDefault="005D0D44">
            <w:pPr>
              <w:ind w:firstLine="420"/>
              <w:rPr>
                <w:rFonts w:ascii="仿宋" w:eastAsia="仿宋" w:hAnsi="仿宋" w:cs="仿宋"/>
                <w:szCs w:val="21"/>
              </w:rPr>
            </w:pPr>
            <w:r>
              <w:rPr>
                <w:rFonts w:ascii="仿宋" w:eastAsia="仿宋" w:hAnsi="仿宋" w:cs="仿宋" w:hint="eastAsia"/>
                <w:szCs w:val="21"/>
              </w:rPr>
              <w:t>1.61</w:t>
            </w:r>
          </w:p>
        </w:tc>
        <w:tc>
          <w:tcPr>
            <w:tcW w:w="1093" w:type="dxa"/>
            <w:tcBorders>
              <w:top w:val="nil"/>
              <w:left w:val="nil"/>
              <w:right w:val="nil"/>
            </w:tcBorders>
            <w:vAlign w:val="center"/>
          </w:tcPr>
          <w:p w14:paraId="1BBAA40A" w14:textId="77777777" w:rsidR="00126CB1" w:rsidRDefault="005D0D44">
            <w:pPr>
              <w:jc w:val="center"/>
              <w:rPr>
                <w:rFonts w:ascii="仿宋" w:eastAsia="仿宋" w:hAnsi="仿宋" w:cs="仿宋"/>
                <w:szCs w:val="21"/>
              </w:rPr>
            </w:pPr>
            <w:r>
              <w:rPr>
                <w:rFonts w:ascii="仿宋" w:eastAsia="仿宋" w:hAnsi="仿宋" w:cs="仿宋" w:hint="eastAsia"/>
                <w:szCs w:val="21"/>
              </w:rPr>
              <w:t>0.93</w:t>
            </w:r>
          </w:p>
        </w:tc>
        <w:tc>
          <w:tcPr>
            <w:tcW w:w="3210" w:type="dxa"/>
            <w:tcBorders>
              <w:top w:val="nil"/>
              <w:left w:val="nil"/>
              <w:right w:val="nil"/>
            </w:tcBorders>
            <w:noWrap/>
            <w:vAlign w:val="center"/>
          </w:tcPr>
          <w:p w14:paraId="13814FF1" w14:textId="77777777" w:rsidR="00126CB1" w:rsidRDefault="005D0D44">
            <w:pPr>
              <w:rPr>
                <w:rFonts w:ascii="仿宋" w:eastAsia="仿宋" w:hAnsi="仿宋" w:cs="仿宋"/>
                <w:szCs w:val="21"/>
              </w:rPr>
            </w:pPr>
            <w:r>
              <w:rPr>
                <w:rFonts w:ascii="仿宋" w:eastAsia="仿宋" w:hAnsi="仿宋" w:cs="仿宋" w:hint="eastAsia"/>
                <w:szCs w:val="21"/>
              </w:rPr>
              <w:t>果皮转黄，果肉质地软，酸味变淡,杏味稍浓。</w:t>
            </w:r>
          </w:p>
        </w:tc>
      </w:tr>
      <w:tr w:rsidR="00126CB1" w14:paraId="3BF14933" w14:textId="77777777">
        <w:trPr>
          <w:trHeight w:val="453"/>
          <w:jc w:val="center"/>
        </w:trPr>
        <w:tc>
          <w:tcPr>
            <w:tcW w:w="674" w:type="dxa"/>
            <w:tcBorders>
              <w:top w:val="nil"/>
              <w:left w:val="nil"/>
              <w:bottom w:val="nil"/>
              <w:right w:val="nil"/>
            </w:tcBorders>
            <w:noWrap/>
            <w:vAlign w:val="center"/>
          </w:tcPr>
          <w:p w14:paraId="69C21FCF" w14:textId="77777777" w:rsidR="00126CB1" w:rsidRDefault="005D0D44">
            <w:pPr>
              <w:jc w:val="center"/>
              <w:rPr>
                <w:rFonts w:ascii="仿宋" w:eastAsia="仿宋" w:hAnsi="仿宋" w:cs="仿宋"/>
                <w:szCs w:val="21"/>
              </w:rPr>
            </w:pPr>
            <w:r>
              <w:rPr>
                <w:rFonts w:ascii="仿宋" w:eastAsia="仿宋" w:hAnsi="仿宋" w:cs="仿宋" w:hint="eastAsia"/>
                <w:szCs w:val="21"/>
              </w:rPr>
              <w:t>0℃</w:t>
            </w:r>
          </w:p>
        </w:tc>
        <w:tc>
          <w:tcPr>
            <w:tcW w:w="870" w:type="dxa"/>
            <w:tcBorders>
              <w:top w:val="nil"/>
              <w:left w:val="nil"/>
              <w:bottom w:val="nil"/>
              <w:right w:val="nil"/>
            </w:tcBorders>
            <w:vAlign w:val="center"/>
          </w:tcPr>
          <w:p w14:paraId="2B42E328" w14:textId="77777777" w:rsidR="00126CB1" w:rsidRDefault="005D0D44">
            <w:pPr>
              <w:jc w:val="center"/>
              <w:rPr>
                <w:rFonts w:ascii="仿宋" w:eastAsia="仿宋" w:hAnsi="仿宋" w:cs="仿宋"/>
                <w:szCs w:val="21"/>
              </w:rPr>
            </w:pPr>
            <w:r>
              <w:rPr>
                <w:rFonts w:ascii="仿宋" w:eastAsia="仿宋" w:hAnsi="仿宋" w:cs="仿宋"/>
                <w:szCs w:val="21"/>
              </w:rPr>
              <w:t>8</w:t>
            </w:r>
          </w:p>
        </w:tc>
        <w:tc>
          <w:tcPr>
            <w:tcW w:w="1380" w:type="dxa"/>
            <w:tcBorders>
              <w:top w:val="nil"/>
              <w:left w:val="nil"/>
              <w:bottom w:val="nil"/>
              <w:right w:val="nil"/>
            </w:tcBorders>
            <w:noWrap/>
            <w:vAlign w:val="center"/>
          </w:tcPr>
          <w:p w14:paraId="5FB30170" w14:textId="77777777" w:rsidR="00126CB1" w:rsidRDefault="005D0D44">
            <w:pPr>
              <w:ind w:firstLine="420"/>
              <w:rPr>
                <w:rFonts w:ascii="仿宋" w:eastAsia="仿宋" w:hAnsi="仿宋" w:cs="仿宋"/>
                <w:szCs w:val="21"/>
              </w:rPr>
            </w:pPr>
            <w:r>
              <w:rPr>
                <w:rFonts w:ascii="仿宋" w:eastAsia="仿宋" w:hAnsi="仿宋" w:cs="仿宋" w:hint="eastAsia"/>
                <w:szCs w:val="21"/>
              </w:rPr>
              <w:t>10.</w:t>
            </w:r>
            <w:r>
              <w:rPr>
                <w:rFonts w:ascii="仿宋" w:eastAsia="仿宋" w:hAnsi="仿宋" w:cs="仿宋"/>
                <w:szCs w:val="21"/>
              </w:rPr>
              <w:t>2</w:t>
            </w:r>
          </w:p>
        </w:tc>
        <w:tc>
          <w:tcPr>
            <w:tcW w:w="1125" w:type="dxa"/>
            <w:tcBorders>
              <w:top w:val="nil"/>
              <w:left w:val="nil"/>
              <w:bottom w:val="nil"/>
              <w:right w:val="nil"/>
            </w:tcBorders>
            <w:vAlign w:val="center"/>
          </w:tcPr>
          <w:p w14:paraId="5DA2570F" w14:textId="77777777" w:rsidR="00126CB1" w:rsidRDefault="005D0D44">
            <w:pPr>
              <w:ind w:firstLine="420"/>
              <w:rPr>
                <w:rFonts w:ascii="仿宋" w:eastAsia="仿宋" w:hAnsi="仿宋" w:cs="仿宋"/>
                <w:szCs w:val="21"/>
              </w:rPr>
            </w:pPr>
            <w:r>
              <w:rPr>
                <w:rFonts w:ascii="仿宋" w:eastAsia="仿宋" w:hAnsi="仿宋" w:cs="仿宋" w:hint="eastAsia"/>
                <w:szCs w:val="21"/>
              </w:rPr>
              <w:t>1.6</w:t>
            </w:r>
            <w:r>
              <w:rPr>
                <w:rFonts w:ascii="仿宋" w:eastAsia="仿宋" w:hAnsi="仿宋" w:cs="仿宋"/>
                <w:szCs w:val="21"/>
              </w:rPr>
              <w:t>4</w:t>
            </w:r>
          </w:p>
        </w:tc>
        <w:tc>
          <w:tcPr>
            <w:tcW w:w="1093" w:type="dxa"/>
            <w:tcBorders>
              <w:top w:val="nil"/>
              <w:left w:val="nil"/>
              <w:bottom w:val="nil"/>
              <w:right w:val="nil"/>
            </w:tcBorders>
            <w:vAlign w:val="center"/>
          </w:tcPr>
          <w:p w14:paraId="43AC7F8D" w14:textId="77777777" w:rsidR="00126CB1" w:rsidRDefault="005D0D44">
            <w:pPr>
              <w:jc w:val="center"/>
              <w:rPr>
                <w:rFonts w:ascii="仿宋" w:eastAsia="仿宋" w:hAnsi="仿宋" w:cs="仿宋"/>
                <w:szCs w:val="21"/>
              </w:rPr>
            </w:pPr>
            <w:r>
              <w:rPr>
                <w:rFonts w:ascii="仿宋" w:eastAsia="仿宋" w:hAnsi="仿宋" w:cs="仿宋" w:hint="eastAsia"/>
                <w:szCs w:val="21"/>
              </w:rPr>
              <w:t>5.</w:t>
            </w:r>
            <w:r>
              <w:rPr>
                <w:rFonts w:ascii="仿宋" w:eastAsia="仿宋" w:hAnsi="仿宋" w:cs="仿宋"/>
                <w:szCs w:val="21"/>
              </w:rPr>
              <w:t>0</w:t>
            </w:r>
            <w:r>
              <w:rPr>
                <w:rFonts w:ascii="仿宋" w:eastAsia="仿宋" w:hAnsi="仿宋" w:cs="仿宋" w:hint="eastAsia"/>
                <w:szCs w:val="21"/>
              </w:rPr>
              <w:t>7</w:t>
            </w:r>
          </w:p>
        </w:tc>
        <w:tc>
          <w:tcPr>
            <w:tcW w:w="3210" w:type="dxa"/>
            <w:tcBorders>
              <w:top w:val="nil"/>
              <w:left w:val="nil"/>
              <w:bottom w:val="nil"/>
              <w:right w:val="nil"/>
            </w:tcBorders>
            <w:noWrap/>
            <w:vAlign w:val="center"/>
          </w:tcPr>
          <w:p w14:paraId="1DBFDB87" w14:textId="77777777" w:rsidR="00126CB1" w:rsidRDefault="005D0D44">
            <w:pPr>
              <w:rPr>
                <w:rFonts w:ascii="仿宋" w:eastAsia="仿宋" w:hAnsi="仿宋" w:cs="仿宋"/>
                <w:szCs w:val="21"/>
              </w:rPr>
            </w:pPr>
            <w:r>
              <w:rPr>
                <w:rFonts w:ascii="仿宋" w:eastAsia="仿宋" w:hAnsi="仿宋" w:cs="仿宋" w:hint="eastAsia"/>
                <w:szCs w:val="21"/>
              </w:rPr>
              <w:t>果皮微黄，果肉质地硬，酸味浓，杏味稍淡。</w:t>
            </w:r>
          </w:p>
        </w:tc>
      </w:tr>
      <w:tr w:rsidR="00126CB1" w14:paraId="551558B7" w14:textId="77777777">
        <w:trPr>
          <w:trHeight w:val="453"/>
          <w:jc w:val="center"/>
        </w:trPr>
        <w:tc>
          <w:tcPr>
            <w:tcW w:w="674" w:type="dxa"/>
            <w:tcBorders>
              <w:top w:val="nil"/>
              <w:left w:val="nil"/>
              <w:bottom w:val="single" w:sz="4" w:space="0" w:color="auto"/>
              <w:right w:val="nil"/>
            </w:tcBorders>
            <w:noWrap/>
            <w:vAlign w:val="center"/>
          </w:tcPr>
          <w:p w14:paraId="6ECBE894" w14:textId="77777777" w:rsidR="00126CB1" w:rsidRDefault="005D0D44">
            <w:pPr>
              <w:jc w:val="center"/>
              <w:rPr>
                <w:rFonts w:ascii="仿宋" w:eastAsia="仿宋" w:hAnsi="仿宋" w:cs="仿宋"/>
                <w:szCs w:val="21"/>
              </w:rPr>
            </w:pPr>
            <w:r>
              <w:rPr>
                <w:rFonts w:ascii="仿宋" w:eastAsia="仿宋" w:hAnsi="仿宋" w:cs="仿宋" w:hint="eastAsia"/>
                <w:szCs w:val="21"/>
              </w:rPr>
              <w:t>-0.5℃</w:t>
            </w:r>
          </w:p>
        </w:tc>
        <w:tc>
          <w:tcPr>
            <w:tcW w:w="870" w:type="dxa"/>
            <w:tcBorders>
              <w:top w:val="nil"/>
              <w:left w:val="nil"/>
              <w:bottom w:val="single" w:sz="4" w:space="0" w:color="auto"/>
              <w:right w:val="nil"/>
            </w:tcBorders>
            <w:vAlign w:val="center"/>
          </w:tcPr>
          <w:p w14:paraId="38E17BD3" w14:textId="77777777" w:rsidR="00126CB1" w:rsidRDefault="005D0D44">
            <w:pPr>
              <w:jc w:val="center"/>
              <w:rPr>
                <w:rFonts w:ascii="仿宋" w:eastAsia="仿宋" w:hAnsi="仿宋" w:cs="仿宋"/>
                <w:szCs w:val="21"/>
              </w:rPr>
            </w:pPr>
            <w:r>
              <w:rPr>
                <w:rFonts w:ascii="仿宋" w:eastAsia="仿宋" w:hAnsi="仿宋" w:cs="仿宋"/>
                <w:szCs w:val="21"/>
              </w:rPr>
              <w:t>8</w:t>
            </w:r>
          </w:p>
        </w:tc>
        <w:tc>
          <w:tcPr>
            <w:tcW w:w="1380" w:type="dxa"/>
            <w:tcBorders>
              <w:top w:val="nil"/>
              <w:left w:val="nil"/>
              <w:bottom w:val="single" w:sz="4" w:space="0" w:color="auto"/>
              <w:right w:val="nil"/>
            </w:tcBorders>
            <w:noWrap/>
            <w:vAlign w:val="center"/>
          </w:tcPr>
          <w:p w14:paraId="759916B9" w14:textId="77777777" w:rsidR="00126CB1" w:rsidRDefault="005D0D44">
            <w:pPr>
              <w:ind w:firstLine="420"/>
              <w:rPr>
                <w:rFonts w:ascii="仿宋" w:eastAsia="仿宋" w:hAnsi="仿宋" w:cs="仿宋"/>
                <w:szCs w:val="21"/>
              </w:rPr>
            </w:pPr>
            <w:r>
              <w:rPr>
                <w:rFonts w:ascii="仿宋" w:eastAsia="仿宋" w:hAnsi="仿宋" w:cs="仿宋" w:hint="eastAsia"/>
                <w:szCs w:val="21"/>
              </w:rPr>
              <w:t>10.</w:t>
            </w:r>
            <w:r>
              <w:rPr>
                <w:rFonts w:ascii="仿宋" w:eastAsia="仿宋" w:hAnsi="仿宋" w:cs="仿宋"/>
                <w:szCs w:val="21"/>
              </w:rPr>
              <w:t>4</w:t>
            </w:r>
          </w:p>
        </w:tc>
        <w:tc>
          <w:tcPr>
            <w:tcW w:w="1125" w:type="dxa"/>
            <w:tcBorders>
              <w:top w:val="nil"/>
              <w:left w:val="nil"/>
              <w:bottom w:val="single" w:sz="4" w:space="0" w:color="auto"/>
              <w:right w:val="nil"/>
            </w:tcBorders>
            <w:vAlign w:val="center"/>
          </w:tcPr>
          <w:p w14:paraId="319A0B2D" w14:textId="77777777" w:rsidR="00126CB1" w:rsidRDefault="005D0D44">
            <w:pPr>
              <w:ind w:firstLine="420"/>
              <w:rPr>
                <w:rFonts w:ascii="仿宋" w:eastAsia="仿宋" w:hAnsi="仿宋" w:cs="仿宋"/>
                <w:szCs w:val="21"/>
              </w:rPr>
            </w:pPr>
            <w:r>
              <w:rPr>
                <w:rFonts w:ascii="仿宋" w:eastAsia="仿宋" w:hAnsi="仿宋" w:cs="仿宋" w:hint="eastAsia"/>
                <w:szCs w:val="21"/>
              </w:rPr>
              <w:t>1.</w:t>
            </w:r>
            <w:r>
              <w:rPr>
                <w:rFonts w:ascii="仿宋" w:eastAsia="仿宋" w:hAnsi="仿宋" w:cs="仿宋"/>
                <w:szCs w:val="21"/>
              </w:rPr>
              <w:t>79</w:t>
            </w:r>
          </w:p>
        </w:tc>
        <w:tc>
          <w:tcPr>
            <w:tcW w:w="1093" w:type="dxa"/>
            <w:tcBorders>
              <w:top w:val="nil"/>
              <w:left w:val="nil"/>
              <w:bottom w:val="single" w:sz="4" w:space="0" w:color="auto"/>
              <w:right w:val="nil"/>
            </w:tcBorders>
            <w:vAlign w:val="center"/>
          </w:tcPr>
          <w:p w14:paraId="4C23002F" w14:textId="77777777" w:rsidR="00126CB1" w:rsidRDefault="005D0D44">
            <w:pPr>
              <w:jc w:val="center"/>
              <w:rPr>
                <w:rFonts w:ascii="仿宋" w:eastAsia="仿宋" w:hAnsi="仿宋" w:cs="仿宋"/>
                <w:szCs w:val="21"/>
              </w:rPr>
            </w:pPr>
            <w:r>
              <w:rPr>
                <w:rFonts w:ascii="仿宋" w:eastAsia="仿宋" w:hAnsi="仿宋" w:cs="仿宋" w:hint="eastAsia"/>
                <w:szCs w:val="21"/>
              </w:rPr>
              <w:t>6.</w:t>
            </w:r>
            <w:r>
              <w:rPr>
                <w:rFonts w:ascii="仿宋" w:eastAsia="仿宋" w:hAnsi="仿宋" w:cs="仿宋"/>
                <w:szCs w:val="21"/>
              </w:rPr>
              <w:t>18</w:t>
            </w:r>
          </w:p>
        </w:tc>
        <w:tc>
          <w:tcPr>
            <w:tcW w:w="3210" w:type="dxa"/>
            <w:tcBorders>
              <w:top w:val="nil"/>
              <w:left w:val="nil"/>
              <w:bottom w:val="single" w:sz="4" w:space="0" w:color="auto"/>
              <w:right w:val="nil"/>
            </w:tcBorders>
            <w:noWrap/>
            <w:vAlign w:val="center"/>
          </w:tcPr>
          <w:p w14:paraId="0342D330" w14:textId="77777777" w:rsidR="00126CB1" w:rsidRDefault="005D0D44">
            <w:pPr>
              <w:rPr>
                <w:rFonts w:ascii="仿宋" w:eastAsia="仿宋" w:hAnsi="仿宋" w:cs="仿宋"/>
                <w:szCs w:val="21"/>
              </w:rPr>
            </w:pPr>
            <w:r>
              <w:rPr>
                <w:rFonts w:ascii="仿宋" w:eastAsia="仿宋" w:hAnsi="仿宋" w:cs="仿宋" w:hint="eastAsia"/>
                <w:szCs w:val="21"/>
              </w:rPr>
              <w:t>果皮微黄，果肉质地硬，酸味浓，杏味稍淡。</w:t>
            </w:r>
          </w:p>
        </w:tc>
      </w:tr>
    </w:tbl>
    <w:p w14:paraId="4ADD6A4A" w14:textId="77777777" w:rsidR="00126CB1" w:rsidRDefault="005D0D44">
      <w:pPr>
        <w:widowControl/>
        <w:adjustRightInd w:val="0"/>
        <w:snapToGrid w:val="0"/>
        <w:spacing w:beforeLines="50" w:before="159" w:line="360" w:lineRule="auto"/>
        <w:ind w:firstLine="480"/>
        <w:rPr>
          <w:rFonts w:ascii="仿宋" w:eastAsia="仿宋" w:hAnsi="仿宋" w:cs="仿宋"/>
          <w:sz w:val="24"/>
        </w:rPr>
      </w:pPr>
      <w:r>
        <w:rPr>
          <w:rFonts w:ascii="仿宋" w:eastAsia="仿宋" w:hAnsi="仿宋" w:cs="仿宋" w:hint="eastAsia"/>
          <w:sz w:val="24"/>
        </w:rPr>
        <w:t>低温贮藏是保持果蔬新鲜品质，延缓组织衰老的有效方法，但温度过低会发生冷害而影响果蔬的品质。核果类水果，如大久保桃、黑布朗李在低温冷藏中会出现冷害的中间温度效应。试验中，不同品种的果实在低温-0.5℃、0℃和4℃下均未出现冷害现象，果面色泽正常，果肉未出现褐变，且较低的温度条件-0.5℃、0℃抑制了果实的低谢水平，果实硬度下降减缓，果实色泽转黄被抑制，果实中糖和酸作为呼吸作用的基质消耗随贮藏温度的降低而减缓，有利于果实贮藏品质的保持。</w:t>
      </w:r>
    </w:p>
    <w:p w14:paraId="63AE4112" w14:textId="77777777" w:rsidR="00126CB1" w:rsidRDefault="005D0D44">
      <w:pPr>
        <w:widowControl/>
        <w:adjustRightInd w:val="0"/>
        <w:snapToGrid w:val="0"/>
        <w:spacing w:line="360" w:lineRule="auto"/>
        <w:ind w:firstLine="480"/>
        <w:rPr>
          <w:rFonts w:ascii="仿宋" w:eastAsia="仿宋" w:hAnsi="仿宋" w:cs="仿宋"/>
          <w:sz w:val="24"/>
        </w:rPr>
      </w:pPr>
      <w:r>
        <w:rPr>
          <w:rFonts w:ascii="仿宋" w:eastAsia="仿宋" w:hAnsi="仿宋" w:cs="仿宋" w:hint="eastAsia"/>
          <w:sz w:val="24"/>
        </w:rPr>
        <w:t>8℃下推荐贮藏期3周，而4℃可贮藏5-6周，但货架期短，果实软化严重。因此长期贮藏推荐0℃、-0.5℃的冰温贮藏。考虑到实际生产性冷库虽然制冷性能近年已大幅提升，但对温度精准性的控制有一定的差异，库温波动较大，冰温贮藏实施普及性不足，加之各品种之间的差异性，推荐0℃±0.5℃。</w:t>
      </w:r>
    </w:p>
    <w:p w14:paraId="1B907FD9" w14:textId="77777777" w:rsidR="00126CB1" w:rsidRDefault="005D0D44">
      <w:pPr>
        <w:widowControl/>
        <w:numPr>
          <w:ilvl w:val="0"/>
          <w:numId w:val="4"/>
        </w:numPr>
        <w:adjustRightInd w:val="0"/>
        <w:snapToGrid w:val="0"/>
        <w:spacing w:line="360" w:lineRule="auto"/>
        <w:ind w:firstLine="480"/>
        <w:outlineLvl w:val="1"/>
        <w:rPr>
          <w:rFonts w:ascii="仿宋" w:eastAsia="仿宋" w:hAnsi="仿宋" w:cs="仿宋"/>
          <w:sz w:val="24"/>
        </w:rPr>
      </w:pPr>
      <w:r>
        <w:rPr>
          <w:rFonts w:ascii="仿宋" w:eastAsia="仿宋" w:hAnsi="仿宋" w:cs="仿宋" w:hint="eastAsia"/>
          <w:sz w:val="24"/>
        </w:rPr>
        <w:t>乙烯去除剂及1-MCP保鲜剂的应用（8.4）</w:t>
      </w:r>
    </w:p>
    <w:p w14:paraId="62677DDB" w14:textId="77777777" w:rsidR="00126CB1" w:rsidRDefault="005D0D44">
      <w:pPr>
        <w:widowControl/>
        <w:adjustRightInd w:val="0"/>
        <w:snapToGrid w:val="0"/>
        <w:spacing w:line="360" w:lineRule="auto"/>
        <w:ind w:firstLineChars="250" w:firstLine="600"/>
        <w:outlineLvl w:val="1"/>
        <w:rPr>
          <w:rFonts w:ascii="仿宋" w:eastAsia="仿宋" w:hAnsi="仿宋" w:cs="仿宋"/>
          <w:sz w:val="24"/>
        </w:rPr>
      </w:pPr>
      <w:r>
        <w:rPr>
          <w:rFonts w:ascii="仿宋" w:eastAsia="仿宋" w:hAnsi="仿宋" w:cs="仿宋" w:hint="eastAsia"/>
          <w:bCs/>
          <w:sz w:val="24"/>
        </w:rPr>
        <w:t>修订原因：</w:t>
      </w:r>
      <w:r>
        <w:rPr>
          <w:rFonts w:ascii="仿宋" w:eastAsia="仿宋" w:hAnsi="仿宋" w:cs="仿宋" w:hint="eastAsia"/>
          <w:sz w:val="24"/>
        </w:rPr>
        <w:t>保鲜剂的应用也是商品化生产的主要环节。经国内外大量研究证明：乙烯去除剂及1-MCP保鲜剂处理对果品保鲜及物流效果较明显，特别对鲜杏亚低温条件下硬度的保持有一定作用。乙烯去除剂及1-MCP处理的条件基本成熟，涉及采后处理的设备设施和药剂都实现了国产化。为此修订时加入此技术。</w:t>
      </w:r>
    </w:p>
    <w:p w14:paraId="704C00DC" w14:textId="77777777" w:rsidR="00126CB1" w:rsidRDefault="005D0D44">
      <w:pPr>
        <w:widowControl/>
        <w:adjustRightInd w:val="0"/>
        <w:snapToGrid w:val="0"/>
        <w:spacing w:line="360" w:lineRule="auto"/>
        <w:ind w:firstLine="480"/>
        <w:rPr>
          <w:rFonts w:ascii="仿宋" w:eastAsia="仿宋" w:hAnsi="仿宋" w:cs="仿宋"/>
          <w:bCs/>
          <w:sz w:val="24"/>
        </w:rPr>
      </w:pPr>
      <w:r>
        <w:rPr>
          <w:rFonts w:ascii="仿宋" w:eastAsia="仿宋" w:hAnsi="仿宋" w:cs="仿宋" w:hint="eastAsia"/>
          <w:bCs/>
          <w:sz w:val="24"/>
        </w:rPr>
        <w:t>试验验证分析：</w:t>
      </w:r>
    </w:p>
    <w:p w14:paraId="5FF2C2E5" w14:textId="77777777" w:rsidR="00126CB1" w:rsidRDefault="005D0D44">
      <w:pPr>
        <w:widowControl/>
        <w:adjustRightInd w:val="0"/>
        <w:snapToGrid w:val="0"/>
        <w:spacing w:line="360" w:lineRule="auto"/>
        <w:ind w:firstLine="480"/>
        <w:rPr>
          <w:rFonts w:ascii="仿宋" w:eastAsia="仿宋" w:hAnsi="仿宋" w:cs="仿宋"/>
          <w:sz w:val="24"/>
        </w:rPr>
      </w:pPr>
      <w:r>
        <w:rPr>
          <w:rFonts w:ascii="仿宋" w:eastAsia="仿宋" w:hAnsi="仿宋" w:cs="仿宋" w:hint="eastAsia"/>
          <w:sz w:val="24"/>
        </w:rPr>
        <w:lastRenderedPageBreak/>
        <w:t>试材为八成熟凯特杏。1-MCP处理浓度为1.0 ul/L，乙烯去除剂用量1袋/5kg ，以未处理果实为对照。0.02 mm厚聚乙烯塑料薄膜保鲜袋包装后，分别置于 8±0.5 ℃，0±0.5 ℃贮藏。品质测定样品采用随机采样法选取。</w:t>
      </w:r>
    </w:p>
    <w:p w14:paraId="6D598464" w14:textId="77777777" w:rsidR="00126CB1" w:rsidRDefault="005D0D44">
      <w:pPr>
        <w:ind w:firstLine="480"/>
        <w:jc w:val="center"/>
        <w:rPr>
          <w:rFonts w:ascii="仿宋" w:eastAsia="仿宋" w:hAnsi="仿宋" w:cs="仿宋"/>
          <w:sz w:val="24"/>
        </w:rPr>
      </w:pPr>
      <w:r>
        <w:rPr>
          <w:rFonts w:ascii="仿宋" w:eastAsia="仿宋" w:hAnsi="仿宋" w:cs="仿宋" w:hint="eastAsia"/>
          <w:sz w:val="24"/>
        </w:rPr>
        <w:t>不同保鲜剂处理对凯特杏果实品质的影响</w:t>
      </w:r>
    </w:p>
    <w:tbl>
      <w:tblPr>
        <w:tblStyle w:val="af2"/>
        <w:tblW w:w="8380" w:type="dxa"/>
        <w:jc w:val="center"/>
        <w:tblBorders>
          <w:left w:val="none" w:sz="0" w:space="0" w:color="auto"/>
          <w:right w:val="none" w:sz="0" w:space="0" w:color="auto"/>
        </w:tblBorders>
        <w:tblLayout w:type="fixed"/>
        <w:tblLook w:val="04A0" w:firstRow="1" w:lastRow="0" w:firstColumn="1" w:lastColumn="0" w:noHBand="0" w:noVBand="1"/>
      </w:tblPr>
      <w:tblGrid>
        <w:gridCol w:w="2474"/>
        <w:gridCol w:w="840"/>
        <w:gridCol w:w="840"/>
        <w:gridCol w:w="1273"/>
        <w:gridCol w:w="841"/>
        <w:gridCol w:w="841"/>
        <w:gridCol w:w="1271"/>
      </w:tblGrid>
      <w:tr w:rsidR="00126CB1" w14:paraId="0B5B1979" w14:textId="77777777">
        <w:trPr>
          <w:trHeight w:val="418"/>
          <w:jc w:val="center"/>
        </w:trPr>
        <w:tc>
          <w:tcPr>
            <w:tcW w:w="2474" w:type="dxa"/>
            <w:vMerge w:val="restart"/>
            <w:tcBorders>
              <w:top w:val="single" w:sz="4" w:space="0" w:color="auto"/>
              <w:left w:val="nil"/>
              <w:bottom w:val="nil"/>
              <w:right w:val="nil"/>
            </w:tcBorders>
            <w:vAlign w:val="center"/>
          </w:tcPr>
          <w:p w14:paraId="12FA08C4"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果实品质</w:t>
            </w:r>
          </w:p>
        </w:tc>
        <w:tc>
          <w:tcPr>
            <w:tcW w:w="2953" w:type="dxa"/>
            <w:gridSpan w:val="3"/>
            <w:tcBorders>
              <w:top w:val="single" w:sz="4" w:space="0" w:color="auto"/>
              <w:left w:val="nil"/>
              <w:bottom w:val="single" w:sz="4" w:space="0" w:color="auto"/>
              <w:right w:val="nil"/>
            </w:tcBorders>
            <w:vAlign w:val="center"/>
          </w:tcPr>
          <w:p w14:paraId="6B927D2D"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8</w:t>
            </w:r>
            <w:r>
              <w:rPr>
                <w:rFonts w:ascii="仿宋" w:eastAsia="仿宋" w:hAnsi="仿宋" w:cs="仿宋" w:hint="eastAsia"/>
                <w:sz w:val="21"/>
                <w:szCs w:val="21"/>
              </w:rPr>
              <w:t>℃</w:t>
            </w:r>
            <w:r>
              <w:rPr>
                <w:rFonts w:ascii="仿宋" w:eastAsia="仿宋" w:hAnsi="仿宋" w:cs="仿宋" w:hint="eastAsia"/>
                <w:color w:val="000000"/>
                <w:sz w:val="21"/>
                <w:szCs w:val="21"/>
              </w:rPr>
              <w:t>(3周)</w:t>
            </w:r>
          </w:p>
        </w:tc>
        <w:tc>
          <w:tcPr>
            <w:tcW w:w="2953" w:type="dxa"/>
            <w:gridSpan w:val="3"/>
            <w:tcBorders>
              <w:top w:val="single" w:sz="4" w:space="0" w:color="auto"/>
              <w:left w:val="nil"/>
              <w:bottom w:val="single" w:sz="4" w:space="0" w:color="auto"/>
              <w:right w:val="nil"/>
            </w:tcBorders>
            <w:vAlign w:val="center"/>
          </w:tcPr>
          <w:p w14:paraId="5EDC3513"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sz w:val="21"/>
                <w:szCs w:val="21"/>
              </w:rPr>
              <w:t>0℃</w:t>
            </w:r>
            <w:r>
              <w:rPr>
                <w:rFonts w:ascii="仿宋" w:eastAsia="仿宋" w:hAnsi="仿宋" w:cs="仿宋" w:hint="eastAsia"/>
                <w:color w:val="000000"/>
                <w:sz w:val="21"/>
                <w:szCs w:val="21"/>
              </w:rPr>
              <w:t>(8周)</w:t>
            </w:r>
          </w:p>
        </w:tc>
      </w:tr>
      <w:tr w:rsidR="00126CB1" w14:paraId="0D7CEBA7" w14:textId="77777777">
        <w:trPr>
          <w:trHeight w:val="426"/>
          <w:jc w:val="center"/>
        </w:trPr>
        <w:tc>
          <w:tcPr>
            <w:tcW w:w="2474" w:type="dxa"/>
            <w:vMerge/>
            <w:tcBorders>
              <w:top w:val="single" w:sz="4" w:space="0" w:color="auto"/>
              <w:left w:val="nil"/>
              <w:bottom w:val="single" w:sz="4" w:space="0" w:color="auto"/>
              <w:right w:val="nil"/>
            </w:tcBorders>
            <w:vAlign w:val="center"/>
          </w:tcPr>
          <w:p w14:paraId="07AA6848" w14:textId="77777777" w:rsidR="00126CB1" w:rsidRDefault="00126CB1">
            <w:pPr>
              <w:ind w:firstLine="422"/>
              <w:rPr>
                <w:rFonts w:ascii="仿宋" w:eastAsia="仿宋" w:hAnsi="仿宋" w:cs="仿宋"/>
                <w:color w:val="000000"/>
                <w:szCs w:val="21"/>
              </w:rPr>
            </w:pPr>
          </w:p>
        </w:tc>
        <w:tc>
          <w:tcPr>
            <w:tcW w:w="840" w:type="dxa"/>
            <w:tcBorders>
              <w:top w:val="single" w:sz="4" w:space="0" w:color="auto"/>
              <w:left w:val="nil"/>
              <w:bottom w:val="single" w:sz="4" w:space="0" w:color="auto"/>
              <w:right w:val="nil"/>
            </w:tcBorders>
            <w:vAlign w:val="center"/>
          </w:tcPr>
          <w:p w14:paraId="7256C97D"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对照</w:t>
            </w:r>
          </w:p>
        </w:tc>
        <w:tc>
          <w:tcPr>
            <w:tcW w:w="840" w:type="dxa"/>
            <w:tcBorders>
              <w:top w:val="single" w:sz="4" w:space="0" w:color="auto"/>
              <w:left w:val="nil"/>
              <w:bottom w:val="single" w:sz="4" w:space="0" w:color="auto"/>
              <w:right w:val="nil"/>
            </w:tcBorders>
            <w:vAlign w:val="center"/>
          </w:tcPr>
          <w:p w14:paraId="3D1E3A7B"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1-MCP</w:t>
            </w:r>
          </w:p>
        </w:tc>
        <w:tc>
          <w:tcPr>
            <w:tcW w:w="1273" w:type="dxa"/>
            <w:tcBorders>
              <w:top w:val="single" w:sz="4" w:space="0" w:color="auto"/>
              <w:left w:val="nil"/>
              <w:bottom w:val="single" w:sz="4" w:space="0" w:color="auto"/>
              <w:right w:val="nil"/>
            </w:tcBorders>
            <w:vAlign w:val="center"/>
          </w:tcPr>
          <w:p w14:paraId="35E4138B"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乙烯去除剂</w:t>
            </w:r>
          </w:p>
        </w:tc>
        <w:tc>
          <w:tcPr>
            <w:tcW w:w="841" w:type="dxa"/>
            <w:tcBorders>
              <w:top w:val="single" w:sz="4" w:space="0" w:color="auto"/>
              <w:left w:val="nil"/>
              <w:bottom w:val="single" w:sz="4" w:space="0" w:color="auto"/>
              <w:right w:val="nil"/>
            </w:tcBorders>
            <w:vAlign w:val="center"/>
          </w:tcPr>
          <w:p w14:paraId="2B40128B"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对照</w:t>
            </w:r>
          </w:p>
        </w:tc>
        <w:tc>
          <w:tcPr>
            <w:tcW w:w="841" w:type="dxa"/>
            <w:tcBorders>
              <w:top w:val="single" w:sz="4" w:space="0" w:color="auto"/>
              <w:left w:val="nil"/>
              <w:bottom w:val="single" w:sz="4" w:space="0" w:color="auto"/>
              <w:right w:val="nil"/>
            </w:tcBorders>
            <w:vAlign w:val="center"/>
          </w:tcPr>
          <w:p w14:paraId="6EDFA0CE"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1-MCP</w:t>
            </w:r>
          </w:p>
        </w:tc>
        <w:tc>
          <w:tcPr>
            <w:tcW w:w="1271" w:type="dxa"/>
            <w:tcBorders>
              <w:top w:val="single" w:sz="4" w:space="0" w:color="auto"/>
              <w:left w:val="nil"/>
              <w:bottom w:val="single" w:sz="4" w:space="0" w:color="auto"/>
              <w:right w:val="nil"/>
            </w:tcBorders>
            <w:vAlign w:val="center"/>
          </w:tcPr>
          <w:p w14:paraId="2315FB80"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乙烯去除剂</w:t>
            </w:r>
          </w:p>
        </w:tc>
      </w:tr>
      <w:tr w:rsidR="00126CB1" w14:paraId="380CCE52" w14:textId="77777777">
        <w:trPr>
          <w:trHeight w:val="344"/>
          <w:jc w:val="center"/>
        </w:trPr>
        <w:tc>
          <w:tcPr>
            <w:tcW w:w="2474" w:type="dxa"/>
            <w:tcBorders>
              <w:top w:val="single" w:sz="4" w:space="0" w:color="auto"/>
              <w:left w:val="nil"/>
              <w:bottom w:val="nil"/>
              <w:right w:val="nil"/>
            </w:tcBorders>
            <w:vAlign w:val="center"/>
          </w:tcPr>
          <w:p w14:paraId="3824A660" w14:textId="77777777" w:rsidR="00126CB1" w:rsidRDefault="005D0D44">
            <w:pPr>
              <w:pStyle w:val="af1"/>
              <w:spacing w:before="0" w:beforeAutospacing="0" w:after="0" w:afterAutospacing="0"/>
              <w:rPr>
                <w:rFonts w:ascii="仿宋" w:eastAsia="仿宋" w:hAnsi="仿宋" w:cs="仿宋"/>
                <w:bCs/>
                <w:sz w:val="21"/>
                <w:szCs w:val="21"/>
              </w:rPr>
            </w:pPr>
            <w:r>
              <w:rPr>
                <w:rFonts w:ascii="仿宋" w:eastAsia="仿宋" w:hAnsi="仿宋" w:cs="仿宋" w:hint="eastAsia"/>
                <w:bCs/>
                <w:sz w:val="21"/>
                <w:szCs w:val="21"/>
              </w:rPr>
              <w:t>硬度/kg/cm</w:t>
            </w:r>
            <w:r>
              <w:rPr>
                <w:rFonts w:ascii="仿宋" w:eastAsia="仿宋" w:hAnsi="仿宋" w:cs="仿宋" w:hint="eastAsia"/>
                <w:bCs/>
                <w:sz w:val="21"/>
                <w:szCs w:val="21"/>
                <w:vertAlign w:val="superscript"/>
              </w:rPr>
              <w:t>2</w:t>
            </w:r>
          </w:p>
        </w:tc>
        <w:tc>
          <w:tcPr>
            <w:tcW w:w="840" w:type="dxa"/>
            <w:tcBorders>
              <w:top w:val="single" w:sz="4" w:space="0" w:color="auto"/>
              <w:left w:val="nil"/>
              <w:bottom w:val="nil"/>
              <w:right w:val="nil"/>
            </w:tcBorders>
            <w:vAlign w:val="center"/>
          </w:tcPr>
          <w:p w14:paraId="647E5672"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0.77</w:t>
            </w:r>
          </w:p>
        </w:tc>
        <w:tc>
          <w:tcPr>
            <w:tcW w:w="840" w:type="dxa"/>
            <w:tcBorders>
              <w:top w:val="single" w:sz="4" w:space="0" w:color="auto"/>
              <w:left w:val="nil"/>
              <w:bottom w:val="nil"/>
              <w:right w:val="nil"/>
            </w:tcBorders>
            <w:vAlign w:val="center"/>
          </w:tcPr>
          <w:p w14:paraId="5DDC87BB"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1.34</w:t>
            </w:r>
          </w:p>
        </w:tc>
        <w:tc>
          <w:tcPr>
            <w:tcW w:w="1273" w:type="dxa"/>
            <w:tcBorders>
              <w:top w:val="single" w:sz="4" w:space="0" w:color="auto"/>
              <w:left w:val="nil"/>
              <w:bottom w:val="nil"/>
              <w:right w:val="nil"/>
            </w:tcBorders>
            <w:vAlign w:val="center"/>
          </w:tcPr>
          <w:p w14:paraId="0A01A067"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1.02</w:t>
            </w:r>
          </w:p>
        </w:tc>
        <w:tc>
          <w:tcPr>
            <w:tcW w:w="841" w:type="dxa"/>
            <w:tcBorders>
              <w:top w:val="single" w:sz="4" w:space="0" w:color="auto"/>
              <w:left w:val="nil"/>
              <w:bottom w:val="nil"/>
              <w:right w:val="nil"/>
            </w:tcBorders>
            <w:vAlign w:val="center"/>
          </w:tcPr>
          <w:p w14:paraId="54A350B7"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5.07</w:t>
            </w:r>
          </w:p>
        </w:tc>
        <w:tc>
          <w:tcPr>
            <w:tcW w:w="841" w:type="dxa"/>
            <w:tcBorders>
              <w:top w:val="single" w:sz="4" w:space="0" w:color="auto"/>
              <w:left w:val="nil"/>
              <w:bottom w:val="nil"/>
              <w:right w:val="nil"/>
            </w:tcBorders>
            <w:vAlign w:val="center"/>
          </w:tcPr>
          <w:p w14:paraId="2CA35788"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6.72</w:t>
            </w:r>
          </w:p>
        </w:tc>
        <w:tc>
          <w:tcPr>
            <w:tcW w:w="1271" w:type="dxa"/>
            <w:tcBorders>
              <w:top w:val="single" w:sz="4" w:space="0" w:color="auto"/>
              <w:left w:val="nil"/>
              <w:bottom w:val="nil"/>
              <w:right w:val="nil"/>
            </w:tcBorders>
            <w:vAlign w:val="center"/>
          </w:tcPr>
          <w:p w14:paraId="526E5030"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6.57</w:t>
            </w:r>
          </w:p>
        </w:tc>
      </w:tr>
      <w:tr w:rsidR="00126CB1" w14:paraId="7EB86721" w14:textId="77777777">
        <w:trPr>
          <w:trHeight w:val="344"/>
          <w:jc w:val="center"/>
        </w:trPr>
        <w:tc>
          <w:tcPr>
            <w:tcW w:w="2474" w:type="dxa"/>
            <w:tcBorders>
              <w:top w:val="nil"/>
              <w:left w:val="nil"/>
              <w:bottom w:val="nil"/>
              <w:right w:val="nil"/>
            </w:tcBorders>
            <w:vAlign w:val="center"/>
          </w:tcPr>
          <w:p w14:paraId="2C64186F" w14:textId="77777777" w:rsidR="00126CB1" w:rsidRDefault="005D0D44">
            <w:pPr>
              <w:pStyle w:val="af1"/>
              <w:spacing w:before="0" w:beforeAutospacing="0" w:after="0" w:afterAutospacing="0"/>
              <w:rPr>
                <w:rFonts w:ascii="仿宋" w:eastAsia="仿宋" w:hAnsi="仿宋" w:cs="仿宋"/>
                <w:bCs/>
                <w:sz w:val="21"/>
                <w:szCs w:val="21"/>
              </w:rPr>
            </w:pPr>
            <w:r>
              <w:rPr>
                <w:rFonts w:ascii="仿宋" w:eastAsia="仿宋" w:hAnsi="仿宋" w:cs="仿宋" w:hint="eastAsia"/>
                <w:bCs/>
                <w:sz w:val="21"/>
                <w:szCs w:val="21"/>
              </w:rPr>
              <w:t>SSC/%</w:t>
            </w:r>
          </w:p>
        </w:tc>
        <w:tc>
          <w:tcPr>
            <w:tcW w:w="840" w:type="dxa"/>
            <w:tcBorders>
              <w:top w:val="nil"/>
              <w:left w:val="nil"/>
              <w:bottom w:val="nil"/>
              <w:right w:val="nil"/>
            </w:tcBorders>
            <w:vAlign w:val="center"/>
          </w:tcPr>
          <w:p w14:paraId="3F4FAD43"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9.3</w:t>
            </w:r>
          </w:p>
        </w:tc>
        <w:tc>
          <w:tcPr>
            <w:tcW w:w="840" w:type="dxa"/>
            <w:tcBorders>
              <w:top w:val="nil"/>
              <w:left w:val="nil"/>
              <w:bottom w:val="nil"/>
              <w:right w:val="nil"/>
            </w:tcBorders>
            <w:vAlign w:val="center"/>
          </w:tcPr>
          <w:p w14:paraId="02D3E03C"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10.5</w:t>
            </w:r>
          </w:p>
        </w:tc>
        <w:tc>
          <w:tcPr>
            <w:tcW w:w="1273" w:type="dxa"/>
            <w:tcBorders>
              <w:top w:val="nil"/>
              <w:left w:val="nil"/>
              <w:bottom w:val="nil"/>
              <w:right w:val="nil"/>
            </w:tcBorders>
            <w:vAlign w:val="center"/>
          </w:tcPr>
          <w:p w14:paraId="52234BB8"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9.7</w:t>
            </w:r>
          </w:p>
        </w:tc>
        <w:tc>
          <w:tcPr>
            <w:tcW w:w="841" w:type="dxa"/>
            <w:tcBorders>
              <w:top w:val="nil"/>
              <w:left w:val="nil"/>
              <w:bottom w:val="nil"/>
              <w:right w:val="nil"/>
            </w:tcBorders>
            <w:vAlign w:val="center"/>
          </w:tcPr>
          <w:p w14:paraId="24B1E50F"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10.2</w:t>
            </w:r>
          </w:p>
        </w:tc>
        <w:tc>
          <w:tcPr>
            <w:tcW w:w="841" w:type="dxa"/>
            <w:tcBorders>
              <w:top w:val="nil"/>
              <w:left w:val="nil"/>
              <w:bottom w:val="nil"/>
              <w:right w:val="nil"/>
            </w:tcBorders>
            <w:vAlign w:val="center"/>
          </w:tcPr>
          <w:p w14:paraId="604F0ADD"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11.2</w:t>
            </w:r>
          </w:p>
        </w:tc>
        <w:tc>
          <w:tcPr>
            <w:tcW w:w="1271" w:type="dxa"/>
            <w:tcBorders>
              <w:top w:val="nil"/>
              <w:left w:val="nil"/>
              <w:bottom w:val="nil"/>
              <w:right w:val="nil"/>
            </w:tcBorders>
            <w:vAlign w:val="center"/>
          </w:tcPr>
          <w:p w14:paraId="2B76C8EA"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10.9</w:t>
            </w:r>
          </w:p>
        </w:tc>
      </w:tr>
      <w:tr w:rsidR="00126CB1" w14:paraId="24A57246" w14:textId="77777777">
        <w:trPr>
          <w:trHeight w:val="344"/>
          <w:jc w:val="center"/>
        </w:trPr>
        <w:tc>
          <w:tcPr>
            <w:tcW w:w="2474" w:type="dxa"/>
            <w:tcBorders>
              <w:top w:val="nil"/>
              <w:left w:val="nil"/>
              <w:bottom w:val="nil"/>
              <w:right w:val="nil"/>
            </w:tcBorders>
            <w:vAlign w:val="center"/>
          </w:tcPr>
          <w:p w14:paraId="4FC0DF13" w14:textId="77777777" w:rsidR="00126CB1" w:rsidRDefault="005D0D44">
            <w:pPr>
              <w:pStyle w:val="af1"/>
              <w:spacing w:before="0" w:beforeAutospacing="0" w:after="0" w:afterAutospacing="0"/>
              <w:rPr>
                <w:rFonts w:ascii="仿宋" w:eastAsia="仿宋" w:hAnsi="仿宋" w:cs="仿宋"/>
                <w:bCs/>
                <w:sz w:val="21"/>
                <w:szCs w:val="21"/>
              </w:rPr>
            </w:pPr>
            <w:r>
              <w:rPr>
                <w:rFonts w:ascii="仿宋" w:eastAsia="仿宋" w:hAnsi="仿宋" w:cs="仿宋" w:hint="eastAsia"/>
                <w:bCs/>
                <w:sz w:val="21"/>
                <w:szCs w:val="21"/>
              </w:rPr>
              <w:t>TA/%</w:t>
            </w:r>
          </w:p>
        </w:tc>
        <w:tc>
          <w:tcPr>
            <w:tcW w:w="840" w:type="dxa"/>
            <w:tcBorders>
              <w:top w:val="nil"/>
              <w:left w:val="nil"/>
              <w:bottom w:val="nil"/>
              <w:right w:val="nil"/>
            </w:tcBorders>
            <w:vAlign w:val="center"/>
          </w:tcPr>
          <w:p w14:paraId="2086100A"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1.34</w:t>
            </w:r>
          </w:p>
        </w:tc>
        <w:tc>
          <w:tcPr>
            <w:tcW w:w="840" w:type="dxa"/>
            <w:tcBorders>
              <w:top w:val="nil"/>
              <w:left w:val="nil"/>
              <w:bottom w:val="nil"/>
              <w:right w:val="nil"/>
            </w:tcBorders>
            <w:vAlign w:val="center"/>
          </w:tcPr>
          <w:p w14:paraId="5AACC7EF"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1.13</w:t>
            </w:r>
          </w:p>
        </w:tc>
        <w:tc>
          <w:tcPr>
            <w:tcW w:w="1273" w:type="dxa"/>
            <w:tcBorders>
              <w:top w:val="nil"/>
              <w:left w:val="nil"/>
              <w:bottom w:val="nil"/>
              <w:right w:val="nil"/>
            </w:tcBorders>
            <w:vAlign w:val="center"/>
          </w:tcPr>
          <w:p w14:paraId="321E7B97"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1.42</w:t>
            </w:r>
          </w:p>
        </w:tc>
        <w:tc>
          <w:tcPr>
            <w:tcW w:w="841" w:type="dxa"/>
            <w:tcBorders>
              <w:top w:val="nil"/>
              <w:left w:val="nil"/>
              <w:bottom w:val="nil"/>
              <w:right w:val="nil"/>
            </w:tcBorders>
            <w:vAlign w:val="center"/>
          </w:tcPr>
          <w:p w14:paraId="17BDD63E"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1.64</w:t>
            </w:r>
          </w:p>
        </w:tc>
        <w:tc>
          <w:tcPr>
            <w:tcW w:w="841" w:type="dxa"/>
            <w:tcBorders>
              <w:top w:val="nil"/>
              <w:left w:val="nil"/>
              <w:bottom w:val="nil"/>
              <w:right w:val="nil"/>
            </w:tcBorders>
            <w:vAlign w:val="center"/>
          </w:tcPr>
          <w:p w14:paraId="5D2BEFC6"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1.94</w:t>
            </w:r>
          </w:p>
        </w:tc>
        <w:tc>
          <w:tcPr>
            <w:tcW w:w="1271" w:type="dxa"/>
            <w:tcBorders>
              <w:top w:val="nil"/>
              <w:left w:val="nil"/>
              <w:bottom w:val="nil"/>
              <w:right w:val="nil"/>
            </w:tcBorders>
            <w:vAlign w:val="center"/>
          </w:tcPr>
          <w:p w14:paraId="59F0E448"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1.91</w:t>
            </w:r>
          </w:p>
        </w:tc>
      </w:tr>
      <w:tr w:rsidR="00126CB1" w14:paraId="22DC1AC1" w14:textId="77777777">
        <w:trPr>
          <w:trHeight w:val="344"/>
          <w:jc w:val="center"/>
        </w:trPr>
        <w:tc>
          <w:tcPr>
            <w:tcW w:w="2474" w:type="dxa"/>
            <w:tcBorders>
              <w:top w:val="nil"/>
              <w:left w:val="nil"/>
              <w:bottom w:val="nil"/>
              <w:right w:val="nil"/>
            </w:tcBorders>
            <w:vAlign w:val="center"/>
          </w:tcPr>
          <w:p w14:paraId="4B19FC31" w14:textId="77777777" w:rsidR="00126CB1" w:rsidRDefault="005D0D44">
            <w:pPr>
              <w:pStyle w:val="af1"/>
              <w:spacing w:before="0" w:beforeAutospacing="0" w:after="0" w:afterAutospacing="0"/>
              <w:rPr>
                <w:rFonts w:ascii="仿宋" w:eastAsia="仿宋" w:hAnsi="仿宋" w:cs="仿宋"/>
                <w:bCs/>
                <w:sz w:val="21"/>
                <w:szCs w:val="21"/>
              </w:rPr>
            </w:pPr>
            <w:r>
              <w:rPr>
                <w:rFonts w:ascii="仿宋" w:eastAsia="仿宋" w:hAnsi="仿宋" w:cs="仿宋" w:hint="eastAsia"/>
                <w:bCs/>
                <w:sz w:val="21"/>
                <w:szCs w:val="21"/>
              </w:rPr>
              <w:t>失重/%</w:t>
            </w:r>
          </w:p>
        </w:tc>
        <w:tc>
          <w:tcPr>
            <w:tcW w:w="840" w:type="dxa"/>
            <w:tcBorders>
              <w:top w:val="nil"/>
              <w:left w:val="nil"/>
              <w:bottom w:val="nil"/>
              <w:right w:val="nil"/>
            </w:tcBorders>
            <w:vAlign w:val="center"/>
          </w:tcPr>
          <w:p w14:paraId="27608426"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0.73</w:t>
            </w:r>
          </w:p>
        </w:tc>
        <w:tc>
          <w:tcPr>
            <w:tcW w:w="840" w:type="dxa"/>
            <w:tcBorders>
              <w:top w:val="nil"/>
              <w:left w:val="nil"/>
              <w:bottom w:val="nil"/>
              <w:right w:val="nil"/>
            </w:tcBorders>
            <w:vAlign w:val="center"/>
          </w:tcPr>
          <w:p w14:paraId="4FE3B27F"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0.52</w:t>
            </w:r>
          </w:p>
        </w:tc>
        <w:tc>
          <w:tcPr>
            <w:tcW w:w="1273" w:type="dxa"/>
            <w:tcBorders>
              <w:top w:val="nil"/>
              <w:left w:val="nil"/>
              <w:bottom w:val="nil"/>
              <w:right w:val="nil"/>
            </w:tcBorders>
            <w:vAlign w:val="center"/>
          </w:tcPr>
          <w:p w14:paraId="28702813"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0.63</w:t>
            </w:r>
          </w:p>
        </w:tc>
        <w:tc>
          <w:tcPr>
            <w:tcW w:w="841" w:type="dxa"/>
            <w:tcBorders>
              <w:top w:val="nil"/>
              <w:left w:val="nil"/>
              <w:bottom w:val="nil"/>
              <w:right w:val="nil"/>
            </w:tcBorders>
            <w:vAlign w:val="center"/>
          </w:tcPr>
          <w:p w14:paraId="667199EC"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0.53</w:t>
            </w:r>
          </w:p>
        </w:tc>
        <w:tc>
          <w:tcPr>
            <w:tcW w:w="841" w:type="dxa"/>
            <w:tcBorders>
              <w:top w:val="nil"/>
              <w:left w:val="nil"/>
              <w:bottom w:val="nil"/>
              <w:right w:val="nil"/>
            </w:tcBorders>
            <w:vAlign w:val="center"/>
          </w:tcPr>
          <w:p w14:paraId="7E51D125"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0.38</w:t>
            </w:r>
          </w:p>
        </w:tc>
        <w:tc>
          <w:tcPr>
            <w:tcW w:w="1271" w:type="dxa"/>
            <w:tcBorders>
              <w:top w:val="nil"/>
              <w:left w:val="nil"/>
              <w:bottom w:val="nil"/>
              <w:right w:val="nil"/>
            </w:tcBorders>
            <w:vAlign w:val="center"/>
          </w:tcPr>
          <w:p w14:paraId="38F1C3B1"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0.42</w:t>
            </w:r>
          </w:p>
        </w:tc>
      </w:tr>
      <w:tr w:rsidR="00126CB1" w14:paraId="0EFF32C2" w14:textId="77777777">
        <w:trPr>
          <w:trHeight w:val="344"/>
          <w:jc w:val="center"/>
        </w:trPr>
        <w:tc>
          <w:tcPr>
            <w:tcW w:w="2474" w:type="dxa"/>
            <w:tcBorders>
              <w:top w:val="nil"/>
              <w:left w:val="nil"/>
              <w:bottom w:val="nil"/>
              <w:right w:val="nil"/>
            </w:tcBorders>
            <w:vAlign w:val="center"/>
          </w:tcPr>
          <w:p w14:paraId="261F37F5" w14:textId="77777777" w:rsidR="00126CB1" w:rsidRDefault="005D0D44">
            <w:pPr>
              <w:pStyle w:val="af1"/>
              <w:spacing w:before="0" w:beforeAutospacing="0" w:after="0" w:afterAutospacing="0"/>
              <w:rPr>
                <w:rFonts w:ascii="仿宋" w:eastAsia="仿宋" w:hAnsi="仿宋" w:cs="仿宋"/>
                <w:bCs/>
                <w:sz w:val="21"/>
                <w:szCs w:val="21"/>
              </w:rPr>
            </w:pPr>
            <w:r>
              <w:rPr>
                <w:rFonts w:ascii="仿宋" w:eastAsia="仿宋" w:hAnsi="仿宋" w:cs="仿宋" w:hint="eastAsia"/>
                <w:bCs/>
                <w:sz w:val="21"/>
                <w:szCs w:val="21"/>
              </w:rPr>
              <w:t>腐烂率/%</w:t>
            </w:r>
          </w:p>
        </w:tc>
        <w:tc>
          <w:tcPr>
            <w:tcW w:w="840" w:type="dxa"/>
            <w:tcBorders>
              <w:top w:val="nil"/>
              <w:left w:val="nil"/>
              <w:bottom w:val="nil"/>
              <w:right w:val="nil"/>
            </w:tcBorders>
            <w:vAlign w:val="center"/>
          </w:tcPr>
          <w:p w14:paraId="4FC28A78"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15.76</w:t>
            </w:r>
          </w:p>
        </w:tc>
        <w:tc>
          <w:tcPr>
            <w:tcW w:w="840" w:type="dxa"/>
            <w:tcBorders>
              <w:top w:val="nil"/>
              <w:left w:val="nil"/>
              <w:bottom w:val="nil"/>
              <w:right w:val="nil"/>
            </w:tcBorders>
            <w:vAlign w:val="center"/>
          </w:tcPr>
          <w:p w14:paraId="1C820202"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8.63</w:t>
            </w:r>
          </w:p>
        </w:tc>
        <w:tc>
          <w:tcPr>
            <w:tcW w:w="1273" w:type="dxa"/>
            <w:tcBorders>
              <w:top w:val="nil"/>
              <w:left w:val="nil"/>
              <w:bottom w:val="nil"/>
              <w:right w:val="nil"/>
            </w:tcBorders>
            <w:vAlign w:val="center"/>
          </w:tcPr>
          <w:p w14:paraId="2D4023C7"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9.25</w:t>
            </w:r>
          </w:p>
        </w:tc>
        <w:tc>
          <w:tcPr>
            <w:tcW w:w="841" w:type="dxa"/>
            <w:tcBorders>
              <w:top w:val="nil"/>
              <w:left w:val="nil"/>
              <w:bottom w:val="nil"/>
              <w:right w:val="nil"/>
            </w:tcBorders>
            <w:vAlign w:val="center"/>
          </w:tcPr>
          <w:p w14:paraId="45DA657B"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9.52</w:t>
            </w:r>
          </w:p>
        </w:tc>
        <w:tc>
          <w:tcPr>
            <w:tcW w:w="841" w:type="dxa"/>
            <w:tcBorders>
              <w:top w:val="nil"/>
              <w:left w:val="nil"/>
              <w:bottom w:val="nil"/>
              <w:right w:val="nil"/>
            </w:tcBorders>
            <w:vAlign w:val="center"/>
          </w:tcPr>
          <w:p w14:paraId="663E073E"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5.14</w:t>
            </w:r>
          </w:p>
        </w:tc>
        <w:tc>
          <w:tcPr>
            <w:tcW w:w="1271" w:type="dxa"/>
            <w:tcBorders>
              <w:top w:val="nil"/>
              <w:left w:val="nil"/>
              <w:bottom w:val="nil"/>
              <w:right w:val="nil"/>
            </w:tcBorders>
            <w:vAlign w:val="center"/>
          </w:tcPr>
          <w:p w14:paraId="1B40F75B"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6.78</w:t>
            </w:r>
          </w:p>
        </w:tc>
      </w:tr>
      <w:tr w:rsidR="00126CB1" w14:paraId="166E96AF" w14:textId="77777777">
        <w:trPr>
          <w:trHeight w:val="344"/>
          <w:jc w:val="center"/>
        </w:trPr>
        <w:tc>
          <w:tcPr>
            <w:tcW w:w="2474" w:type="dxa"/>
            <w:tcBorders>
              <w:top w:val="nil"/>
              <w:left w:val="nil"/>
              <w:bottom w:val="nil"/>
              <w:right w:val="nil"/>
            </w:tcBorders>
            <w:vAlign w:val="center"/>
          </w:tcPr>
          <w:p w14:paraId="56C26134" w14:textId="77777777" w:rsidR="00126CB1" w:rsidRDefault="005D0D44">
            <w:pPr>
              <w:pStyle w:val="af1"/>
              <w:spacing w:before="0" w:beforeAutospacing="0" w:after="0" w:afterAutospacing="0"/>
              <w:rPr>
                <w:rFonts w:ascii="仿宋" w:eastAsia="仿宋" w:hAnsi="仿宋" w:cs="仿宋"/>
                <w:bCs/>
                <w:color w:val="000000"/>
                <w:sz w:val="21"/>
                <w:szCs w:val="21"/>
              </w:rPr>
            </w:pPr>
            <w:r>
              <w:rPr>
                <w:rFonts w:ascii="仿宋" w:eastAsia="仿宋" w:hAnsi="仿宋" w:cs="仿宋" w:hint="eastAsia"/>
                <w:bCs/>
                <w:color w:val="000000"/>
                <w:sz w:val="21"/>
                <w:szCs w:val="21"/>
              </w:rPr>
              <w:t>果实呼吸强度/</w:t>
            </w:r>
            <w:r>
              <w:rPr>
                <w:rFonts w:ascii="仿宋" w:eastAsia="仿宋" w:hAnsi="仿宋" w:cs="仿宋" w:hint="eastAsia"/>
                <w:bCs/>
                <w:sz w:val="21"/>
                <w:szCs w:val="21"/>
              </w:rPr>
              <w:t>mg/hr.kg</w:t>
            </w:r>
          </w:p>
        </w:tc>
        <w:tc>
          <w:tcPr>
            <w:tcW w:w="840" w:type="dxa"/>
            <w:tcBorders>
              <w:top w:val="nil"/>
              <w:left w:val="nil"/>
              <w:bottom w:val="nil"/>
              <w:right w:val="nil"/>
            </w:tcBorders>
            <w:vAlign w:val="center"/>
          </w:tcPr>
          <w:p w14:paraId="0760FB4C"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56.93</w:t>
            </w:r>
          </w:p>
        </w:tc>
        <w:tc>
          <w:tcPr>
            <w:tcW w:w="840" w:type="dxa"/>
            <w:tcBorders>
              <w:top w:val="nil"/>
              <w:left w:val="nil"/>
              <w:bottom w:val="nil"/>
              <w:right w:val="nil"/>
            </w:tcBorders>
            <w:vAlign w:val="center"/>
          </w:tcPr>
          <w:p w14:paraId="4D9EC861"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43.43</w:t>
            </w:r>
          </w:p>
        </w:tc>
        <w:tc>
          <w:tcPr>
            <w:tcW w:w="1273" w:type="dxa"/>
            <w:tcBorders>
              <w:top w:val="nil"/>
              <w:left w:val="nil"/>
              <w:bottom w:val="nil"/>
              <w:right w:val="nil"/>
            </w:tcBorders>
            <w:vAlign w:val="center"/>
          </w:tcPr>
          <w:p w14:paraId="0FA6AF7D"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50.25</w:t>
            </w:r>
          </w:p>
        </w:tc>
        <w:tc>
          <w:tcPr>
            <w:tcW w:w="841" w:type="dxa"/>
            <w:tcBorders>
              <w:top w:val="nil"/>
              <w:left w:val="nil"/>
              <w:bottom w:val="nil"/>
              <w:right w:val="nil"/>
            </w:tcBorders>
            <w:vAlign w:val="center"/>
          </w:tcPr>
          <w:p w14:paraId="1C7280EE"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5.07</w:t>
            </w:r>
          </w:p>
        </w:tc>
        <w:tc>
          <w:tcPr>
            <w:tcW w:w="841" w:type="dxa"/>
            <w:tcBorders>
              <w:top w:val="nil"/>
              <w:left w:val="nil"/>
              <w:bottom w:val="nil"/>
              <w:right w:val="nil"/>
            </w:tcBorders>
            <w:vAlign w:val="center"/>
          </w:tcPr>
          <w:p w14:paraId="7FDE82C2"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3.76</w:t>
            </w:r>
          </w:p>
        </w:tc>
        <w:tc>
          <w:tcPr>
            <w:tcW w:w="1271" w:type="dxa"/>
            <w:tcBorders>
              <w:top w:val="nil"/>
              <w:left w:val="nil"/>
              <w:bottom w:val="nil"/>
              <w:right w:val="nil"/>
            </w:tcBorders>
            <w:vAlign w:val="center"/>
          </w:tcPr>
          <w:p w14:paraId="1E9BA1A5"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4.13</w:t>
            </w:r>
          </w:p>
        </w:tc>
      </w:tr>
      <w:tr w:rsidR="00126CB1" w14:paraId="67D4158A" w14:textId="77777777">
        <w:trPr>
          <w:trHeight w:val="344"/>
          <w:jc w:val="center"/>
        </w:trPr>
        <w:tc>
          <w:tcPr>
            <w:tcW w:w="2474" w:type="dxa"/>
            <w:tcBorders>
              <w:top w:val="nil"/>
              <w:left w:val="nil"/>
              <w:bottom w:val="single" w:sz="4" w:space="0" w:color="auto"/>
              <w:right w:val="nil"/>
            </w:tcBorders>
            <w:vAlign w:val="center"/>
          </w:tcPr>
          <w:p w14:paraId="0F3B173C" w14:textId="77777777" w:rsidR="00126CB1" w:rsidRDefault="005D0D44">
            <w:pPr>
              <w:pStyle w:val="af1"/>
              <w:spacing w:before="0" w:beforeAutospacing="0" w:after="0" w:afterAutospacing="0"/>
              <w:rPr>
                <w:rFonts w:ascii="仿宋" w:eastAsia="仿宋" w:hAnsi="仿宋" w:cs="仿宋"/>
                <w:bCs/>
                <w:color w:val="000000"/>
                <w:sz w:val="21"/>
                <w:szCs w:val="21"/>
              </w:rPr>
            </w:pPr>
            <w:r>
              <w:rPr>
                <w:rFonts w:ascii="仿宋" w:eastAsia="仿宋" w:hAnsi="仿宋" w:cs="仿宋" w:hint="eastAsia"/>
                <w:bCs/>
                <w:color w:val="000000"/>
                <w:sz w:val="21"/>
                <w:szCs w:val="21"/>
              </w:rPr>
              <w:t>果实乙烯释放/</w:t>
            </w:r>
            <w:r>
              <w:rPr>
                <w:rFonts w:ascii="仿宋" w:eastAsia="仿宋" w:hAnsi="仿宋" w:cs="仿宋" w:hint="eastAsia"/>
                <w:bCs/>
                <w:sz w:val="21"/>
                <w:szCs w:val="21"/>
              </w:rPr>
              <w:t>ul/hr.kg</w:t>
            </w:r>
          </w:p>
        </w:tc>
        <w:tc>
          <w:tcPr>
            <w:tcW w:w="840" w:type="dxa"/>
            <w:tcBorders>
              <w:top w:val="nil"/>
              <w:left w:val="nil"/>
              <w:bottom w:val="single" w:sz="4" w:space="0" w:color="auto"/>
              <w:right w:val="nil"/>
            </w:tcBorders>
            <w:vAlign w:val="center"/>
          </w:tcPr>
          <w:p w14:paraId="3B2A6AA7"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34.51</w:t>
            </w:r>
          </w:p>
        </w:tc>
        <w:tc>
          <w:tcPr>
            <w:tcW w:w="840" w:type="dxa"/>
            <w:tcBorders>
              <w:top w:val="nil"/>
              <w:left w:val="nil"/>
              <w:bottom w:val="single" w:sz="4" w:space="0" w:color="auto"/>
              <w:right w:val="nil"/>
            </w:tcBorders>
            <w:vAlign w:val="center"/>
          </w:tcPr>
          <w:p w14:paraId="5F27C28B"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25.57</w:t>
            </w:r>
          </w:p>
        </w:tc>
        <w:tc>
          <w:tcPr>
            <w:tcW w:w="1273" w:type="dxa"/>
            <w:tcBorders>
              <w:top w:val="nil"/>
              <w:left w:val="nil"/>
              <w:bottom w:val="single" w:sz="4" w:space="0" w:color="auto"/>
              <w:right w:val="nil"/>
            </w:tcBorders>
            <w:vAlign w:val="center"/>
          </w:tcPr>
          <w:p w14:paraId="2BFEEE6C" w14:textId="77777777" w:rsidR="00126CB1" w:rsidRDefault="005D0D44">
            <w:pPr>
              <w:pStyle w:val="af1"/>
              <w:spacing w:before="0" w:beforeAutospacing="0" w:after="0" w:afterAutospacing="0"/>
              <w:jc w:val="center"/>
              <w:rPr>
                <w:rFonts w:ascii="仿宋" w:eastAsia="仿宋" w:hAnsi="仿宋" w:cs="仿宋"/>
                <w:color w:val="000000"/>
                <w:sz w:val="21"/>
                <w:szCs w:val="21"/>
              </w:rPr>
            </w:pPr>
            <w:r>
              <w:rPr>
                <w:rFonts w:ascii="仿宋" w:eastAsia="仿宋" w:hAnsi="仿宋" w:cs="仿宋" w:hint="eastAsia"/>
                <w:color w:val="000000"/>
                <w:sz w:val="21"/>
                <w:szCs w:val="21"/>
              </w:rPr>
              <w:t>29.78</w:t>
            </w:r>
          </w:p>
        </w:tc>
        <w:tc>
          <w:tcPr>
            <w:tcW w:w="841" w:type="dxa"/>
            <w:tcBorders>
              <w:top w:val="nil"/>
              <w:left w:val="nil"/>
              <w:bottom w:val="single" w:sz="4" w:space="0" w:color="auto"/>
              <w:right w:val="nil"/>
            </w:tcBorders>
            <w:vAlign w:val="center"/>
          </w:tcPr>
          <w:p w14:paraId="7B431F7E"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0.39</w:t>
            </w:r>
          </w:p>
        </w:tc>
        <w:tc>
          <w:tcPr>
            <w:tcW w:w="841" w:type="dxa"/>
            <w:tcBorders>
              <w:top w:val="nil"/>
              <w:left w:val="nil"/>
              <w:bottom w:val="single" w:sz="4" w:space="0" w:color="auto"/>
              <w:right w:val="nil"/>
            </w:tcBorders>
            <w:vAlign w:val="center"/>
          </w:tcPr>
          <w:p w14:paraId="2E1E5E6B"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0.15</w:t>
            </w:r>
          </w:p>
        </w:tc>
        <w:tc>
          <w:tcPr>
            <w:tcW w:w="1271" w:type="dxa"/>
            <w:tcBorders>
              <w:top w:val="nil"/>
              <w:left w:val="nil"/>
              <w:bottom w:val="single" w:sz="4" w:space="0" w:color="auto"/>
              <w:right w:val="nil"/>
            </w:tcBorders>
            <w:vAlign w:val="center"/>
          </w:tcPr>
          <w:p w14:paraId="29373B83" w14:textId="77777777" w:rsidR="00126CB1" w:rsidRDefault="005D0D44">
            <w:pPr>
              <w:pStyle w:val="af1"/>
              <w:spacing w:before="0" w:beforeAutospacing="0" w:after="0" w:afterAutospacing="0"/>
              <w:jc w:val="center"/>
              <w:rPr>
                <w:rFonts w:ascii="仿宋" w:eastAsia="仿宋" w:hAnsi="仿宋" w:cs="仿宋"/>
                <w:sz w:val="21"/>
                <w:szCs w:val="21"/>
              </w:rPr>
            </w:pPr>
            <w:r>
              <w:rPr>
                <w:rFonts w:ascii="仿宋" w:eastAsia="仿宋" w:hAnsi="仿宋" w:cs="仿宋" w:hint="eastAsia"/>
                <w:sz w:val="21"/>
                <w:szCs w:val="21"/>
              </w:rPr>
              <w:t>0.27</w:t>
            </w:r>
          </w:p>
        </w:tc>
      </w:tr>
    </w:tbl>
    <w:p w14:paraId="0067D14B" w14:textId="77777777" w:rsidR="00126CB1" w:rsidRDefault="005D0D44">
      <w:pPr>
        <w:numPr>
          <w:ilvl w:val="0"/>
          <w:numId w:val="5"/>
        </w:numPr>
        <w:spacing w:line="360" w:lineRule="auto"/>
        <w:ind w:firstLineChars="200" w:firstLine="480"/>
        <w:outlineLvl w:val="0"/>
        <w:rPr>
          <w:rFonts w:ascii="仿宋" w:eastAsia="仿宋" w:hAnsi="仿宋" w:cs="仿宋"/>
          <w:sz w:val="24"/>
        </w:rPr>
      </w:pPr>
      <w:r>
        <w:rPr>
          <w:rFonts w:ascii="仿宋" w:eastAsia="仿宋" w:hAnsi="仿宋" w:cs="仿宋" w:hint="eastAsia"/>
          <w:sz w:val="24"/>
        </w:rPr>
        <w:t>MCP 以及乙烯去除剂处理与对照相比均能延缓贮藏期果实可溶性固形物含量、可滴定酸含量的下降，保持了果实的硬度，不同程度抑制了果实呼吸强度和乙烯释放量，减少果实的失重及腐烂，且在亚低温下这种作用效果更为明显，一定程度上保持了果实的品质。为此在物流及冷藏过程中，可采用乙烯调控以缓解果实品质及商品性的损失。</w:t>
      </w:r>
    </w:p>
    <w:p w14:paraId="26126510"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六、重大意见分歧的处理依据和结果</w:t>
      </w:r>
    </w:p>
    <w:p w14:paraId="5B6957D1" w14:textId="77777777" w:rsidR="00126CB1" w:rsidRDefault="005D0D44">
      <w:pPr>
        <w:spacing w:line="360" w:lineRule="auto"/>
        <w:ind w:firstLine="440"/>
        <w:outlineLvl w:val="2"/>
        <w:rPr>
          <w:rFonts w:ascii="仿宋" w:eastAsia="仿宋" w:hAnsi="仿宋" w:cs="仿宋"/>
          <w:sz w:val="24"/>
        </w:rPr>
      </w:pPr>
      <w:r>
        <w:rPr>
          <w:rFonts w:ascii="仿宋" w:eastAsia="仿宋" w:hAnsi="仿宋" w:cs="仿宋" w:hint="eastAsia"/>
          <w:sz w:val="24"/>
        </w:rPr>
        <w:t>2023年9至10月，形成标准文本征求意见稿，分别送科研院所、果业中心、合作社、果品公司征求意见，共收到反馈意见6 份 9条( 见附表 )，制标小组对反馈意见经过认真仔细研究，对其中9条予以采纳，并对修订草稿进一步补充，修改和完善，形成送审稿。</w:t>
      </w:r>
    </w:p>
    <w:p w14:paraId="5FAB7D6D"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情况，是否合规引用或采用国际标准和国外先进标准，以及与国内外同类标准水平的对比情况</w:t>
      </w:r>
    </w:p>
    <w:p w14:paraId="221B5C8B" w14:textId="77777777" w:rsidR="00126CB1" w:rsidRDefault="005D0D44">
      <w:pPr>
        <w:widowControl/>
        <w:adjustRightInd w:val="0"/>
        <w:snapToGrid w:val="0"/>
        <w:spacing w:line="360" w:lineRule="auto"/>
        <w:ind w:firstLine="442"/>
        <w:outlineLvl w:val="2"/>
        <w:rPr>
          <w:rFonts w:ascii="仿宋" w:eastAsia="仿宋" w:hAnsi="仿宋" w:cs="仿宋"/>
          <w:sz w:val="24"/>
        </w:rPr>
      </w:pPr>
      <w:r>
        <w:rPr>
          <w:rFonts w:ascii="仿宋" w:eastAsia="仿宋" w:hAnsi="仿宋" w:cs="仿宋" w:hint="eastAsia"/>
          <w:sz w:val="24"/>
        </w:rPr>
        <w:t>本标准的编制依据国际、国家和行业标准进行制定的，侧重于采后贮藏及运输环节，根据山西省鲜食及加工杏的生产实际情况，与现行国标、行标及其它省市的地方标准相比较，本标准突在贮藏保鲜技术的基础上，将多年的生产实践经验总结并细化，对采后处理，入库、预冷及码垛等环节及冷藏期间各贮藏参数的设置操作性、适应性更强。</w:t>
      </w:r>
    </w:p>
    <w:p w14:paraId="21C1B3AF"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14:paraId="37FA001E" w14:textId="77777777" w:rsidR="00126CB1" w:rsidRDefault="005D0D44">
      <w:pPr>
        <w:spacing w:line="360" w:lineRule="auto"/>
        <w:ind w:firstLineChars="200" w:firstLine="480"/>
        <w:jc w:val="left"/>
        <w:rPr>
          <w:rFonts w:ascii="仿宋_GB2312" w:eastAsia="仿宋_GB2312" w:hAnsi="宋体"/>
          <w:sz w:val="24"/>
        </w:rPr>
      </w:pPr>
      <w:r>
        <w:rPr>
          <w:rFonts w:ascii="仿宋_GB2312" w:eastAsia="仿宋_GB2312" w:hAnsi="宋体"/>
          <w:sz w:val="24"/>
        </w:rPr>
        <w:lastRenderedPageBreak/>
        <w:t>建议本标准为推荐性标准。</w:t>
      </w:r>
    </w:p>
    <w:p w14:paraId="5D7BFA7E" w14:textId="77777777" w:rsidR="00126CB1" w:rsidRDefault="005D0D44">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14:paraId="59BB0388" w14:textId="77777777" w:rsidR="00126CB1" w:rsidRDefault="005D0D44">
      <w:pPr>
        <w:spacing w:line="360" w:lineRule="auto"/>
        <w:ind w:firstLine="440"/>
        <w:outlineLvl w:val="2"/>
        <w:rPr>
          <w:rFonts w:ascii="仿宋" w:eastAsia="仿宋" w:hAnsi="仿宋" w:cs="仿宋"/>
          <w:sz w:val="24"/>
        </w:rPr>
      </w:pPr>
      <w:r>
        <w:rPr>
          <w:rFonts w:ascii="仿宋_GB2312" w:eastAsia="仿宋_GB2312" w:hAnsi="宋体" w:hint="eastAsia"/>
          <w:sz w:val="24"/>
        </w:rPr>
        <w:t>1、</w:t>
      </w:r>
      <w:r>
        <w:rPr>
          <w:rFonts w:ascii="仿宋" w:eastAsia="仿宋" w:hAnsi="仿宋" w:cs="仿宋" w:hint="eastAsia"/>
          <w:sz w:val="24"/>
        </w:rPr>
        <w:t>项目组在2023年承担了山西省成果转化项目“杏采后果实品质控制集成技术示范推广”。项目就前期研究成果通过生产性试验使鲜杏保鲜和贮运中关键技术进一步熟化完善，这一项目的实施可为“杏冷藏技术规程”的制订提供生产性验证，确保规程的可操作性及实际应用效果。</w:t>
      </w:r>
    </w:p>
    <w:p w14:paraId="698CBFAD" w14:textId="77777777" w:rsidR="00126CB1" w:rsidRDefault="005D0D44">
      <w:pPr>
        <w:spacing w:line="360" w:lineRule="auto"/>
        <w:ind w:firstLine="440"/>
        <w:outlineLvl w:val="2"/>
        <w:rPr>
          <w:rFonts w:ascii="仿宋" w:eastAsia="仿宋" w:hAnsi="仿宋" w:cs="仿宋"/>
          <w:sz w:val="24"/>
        </w:rPr>
      </w:pPr>
      <w:r>
        <w:rPr>
          <w:rFonts w:ascii="仿宋_GB2312" w:eastAsia="仿宋_GB2312" w:hAnsi="宋体" w:hint="eastAsia"/>
          <w:sz w:val="24"/>
        </w:rPr>
        <w:t>2、</w:t>
      </w:r>
      <w:r>
        <w:rPr>
          <w:rFonts w:ascii="仿宋" w:eastAsia="仿宋" w:hAnsi="仿宋" w:cs="仿宋" w:hint="eastAsia"/>
          <w:sz w:val="24"/>
        </w:rPr>
        <w:t>项目在完成修订计划后，会加强对标准应用单位生产人员的技术和岗位培训；尤其在我省鲜杏主要产区大同、运城等地广泛开展标准的宣传工作，扩大鲜杏采后处理及贮藏技术规范的推广、实施。</w:t>
      </w:r>
    </w:p>
    <w:p w14:paraId="3D6B5D39" w14:textId="77777777" w:rsidR="00126CB1" w:rsidRDefault="00126CB1">
      <w:pPr>
        <w:spacing w:line="360" w:lineRule="auto"/>
        <w:ind w:firstLineChars="200" w:firstLine="480"/>
        <w:jc w:val="left"/>
        <w:rPr>
          <w:rFonts w:ascii="仿宋" w:eastAsia="仿宋" w:hAnsi="仿宋" w:cs="仿宋"/>
          <w:sz w:val="24"/>
        </w:rPr>
        <w:sectPr w:rsidR="00126CB1" w:rsidSect="00865F92">
          <w:footerReference w:type="default" r:id="rId7"/>
          <w:pgSz w:w="11906" w:h="16838"/>
          <w:pgMar w:top="1440" w:right="1803" w:bottom="1440" w:left="1803" w:header="851" w:footer="992" w:gutter="0"/>
          <w:pgNumType w:start="0"/>
          <w:cols w:space="0"/>
          <w:titlePg/>
          <w:docGrid w:type="lines" w:linePitch="319"/>
        </w:sectPr>
      </w:pPr>
    </w:p>
    <w:p w14:paraId="156B4780" w14:textId="77777777" w:rsidR="00126CB1" w:rsidRDefault="005D0D44">
      <w:pPr>
        <w:spacing w:line="360" w:lineRule="auto"/>
        <w:jc w:val="left"/>
        <w:rPr>
          <w:rFonts w:ascii="仿宋_GB2312" w:eastAsia="仿宋_GB2312" w:hAnsi="宋体"/>
          <w:sz w:val="24"/>
        </w:rPr>
      </w:pPr>
      <w:r>
        <w:rPr>
          <w:rFonts w:ascii="仿宋_GB2312" w:eastAsia="仿宋_GB2312" w:hAnsi="宋体" w:hint="eastAsia"/>
          <w:sz w:val="24"/>
        </w:rPr>
        <w:lastRenderedPageBreak/>
        <w:t>附表</w:t>
      </w:r>
    </w:p>
    <w:p w14:paraId="1EEC611C" w14:textId="77777777" w:rsidR="00126CB1" w:rsidRDefault="005D0D44">
      <w:pPr>
        <w:spacing w:afterLines="50" w:after="159"/>
        <w:jc w:val="center"/>
        <w:rPr>
          <w:rFonts w:ascii="仿宋_GB2312" w:eastAsia="仿宋_GB2312" w:hAnsi="宋体"/>
          <w:sz w:val="24"/>
        </w:rPr>
      </w:pPr>
      <w:bookmarkStart w:id="1" w:name="StandardName"/>
      <w:r>
        <w:rPr>
          <w:rFonts w:ascii="仿宋_GB2312" w:eastAsia="仿宋_GB2312" w:hAnsi="宋体" w:hint="eastAsia"/>
          <w:sz w:val="24"/>
        </w:rPr>
        <w:t>杏冷藏技术规程</w:t>
      </w:r>
      <w:bookmarkEnd w:id="1"/>
      <w:r>
        <w:rPr>
          <w:rFonts w:ascii="仿宋_GB2312" w:eastAsia="仿宋_GB2312" w:hAnsi="宋体" w:hint="eastAsia"/>
          <w:sz w:val="24"/>
        </w:rPr>
        <w:t>地方标准征求意见汇总处理表</w:t>
      </w:r>
    </w:p>
    <w:p w14:paraId="34F315FF" w14:textId="77777777" w:rsidR="00126CB1" w:rsidRDefault="00126CB1">
      <w:pPr>
        <w:spacing w:afterLines="50" w:after="159"/>
        <w:jc w:val="center"/>
        <w:rPr>
          <w:rFonts w:ascii="仿宋_GB2312" w:eastAsia="仿宋_GB2312" w:hAnsi="宋体"/>
          <w:sz w:val="24"/>
        </w:rPr>
      </w:pPr>
    </w:p>
    <w:p w14:paraId="4C9583B8" w14:textId="77777777" w:rsidR="00126CB1" w:rsidRDefault="005D0D44">
      <w:pPr>
        <w:widowControl/>
        <w:adjustRightInd w:val="0"/>
        <w:snapToGrid w:val="0"/>
        <w:rPr>
          <w:rFonts w:asciiTheme="minorEastAsia" w:hAnsiTheme="minorEastAsia"/>
          <w:sz w:val="24"/>
        </w:rPr>
      </w:pPr>
      <w:r>
        <w:rPr>
          <w:rFonts w:ascii="宋体" w:hAnsi="宋体" w:cs="宋体"/>
          <w:spacing w:val="-7"/>
          <w:szCs w:val="21"/>
        </w:rPr>
        <w:t>起</w:t>
      </w:r>
      <w:r>
        <w:rPr>
          <w:rFonts w:ascii="宋体" w:hAnsi="宋体" w:cs="宋体"/>
          <w:spacing w:val="-6"/>
          <w:szCs w:val="21"/>
        </w:rPr>
        <w:t>草单位：</w:t>
      </w:r>
      <w:r>
        <w:rPr>
          <w:rFonts w:ascii="宋体" w:hAnsi="宋体" w:cs="宋体" w:hint="eastAsia"/>
          <w:spacing w:val="-6"/>
          <w:szCs w:val="21"/>
        </w:rPr>
        <w:t xml:space="preserve"> 山西农业大学             </w:t>
      </w:r>
      <w:r>
        <w:rPr>
          <w:rFonts w:ascii="宋体" w:hAnsi="宋体" w:cs="宋体"/>
          <w:spacing w:val="-4"/>
          <w:szCs w:val="21"/>
        </w:rPr>
        <w:t>承办人：</w:t>
      </w:r>
      <w:r>
        <w:rPr>
          <w:rFonts w:ascii="宋体" w:hAnsi="宋体" w:cs="宋体" w:hint="eastAsia"/>
          <w:spacing w:val="-4"/>
          <w:szCs w:val="21"/>
        </w:rPr>
        <w:t xml:space="preserve">赵迎丽                   </w:t>
      </w:r>
      <w:r>
        <w:rPr>
          <w:rFonts w:ascii="宋体" w:hAnsi="宋体" w:cs="宋体"/>
          <w:spacing w:val="-4"/>
          <w:szCs w:val="21"/>
        </w:rPr>
        <w:t xml:space="preserve">联系电话： </w:t>
      </w:r>
      <w:r>
        <w:rPr>
          <w:rFonts w:ascii="宋体" w:hAnsi="宋体" w:cs="宋体" w:hint="eastAsia"/>
          <w:spacing w:val="-4"/>
          <w:szCs w:val="21"/>
        </w:rPr>
        <w:t xml:space="preserve">  13653409567                 </w:t>
      </w:r>
      <w:r>
        <w:rPr>
          <w:rFonts w:ascii="宋体" w:hAnsi="宋体" w:cs="宋体"/>
          <w:spacing w:val="-4"/>
          <w:szCs w:val="21"/>
        </w:rPr>
        <w:t>填写时间：</w:t>
      </w:r>
      <w:r>
        <w:rPr>
          <w:rFonts w:ascii="宋体" w:hAnsi="宋体" w:cs="宋体" w:hint="eastAsia"/>
          <w:spacing w:val="-4"/>
          <w:szCs w:val="21"/>
        </w:rPr>
        <w:t>2023.12.15</w:t>
      </w:r>
    </w:p>
    <w:tbl>
      <w:tblPr>
        <w:tblStyle w:val="TableNormal"/>
        <w:tblpPr w:leftFromText="180" w:rightFromText="180" w:vertAnchor="text" w:horzAnchor="page" w:tblpX="1423" w:tblpY="473"/>
        <w:tblOverlap w:val="never"/>
        <w:tblW w:w="13980"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61"/>
        <w:gridCol w:w="1245"/>
        <w:gridCol w:w="4155"/>
        <w:gridCol w:w="2355"/>
        <w:gridCol w:w="1770"/>
        <w:gridCol w:w="3794"/>
      </w:tblGrid>
      <w:tr w:rsidR="00126CB1" w14:paraId="682C7F68" w14:textId="77777777">
        <w:trPr>
          <w:trHeight w:val="783"/>
        </w:trPr>
        <w:tc>
          <w:tcPr>
            <w:tcW w:w="661" w:type="dxa"/>
            <w:vAlign w:val="center"/>
          </w:tcPr>
          <w:p w14:paraId="57F9C4BD" w14:textId="77777777" w:rsidR="00126CB1" w:rsidRDefault="005D0D44">
            <w:pPr>
              <w:widowControl/>
              <w:adjustRightInd w:val="0"/>
              <w:snapToGrid w:val="0"/>
              <w:spacing w:line="221" w:lineRule="auto"/>
              <w:jc w:val="center"/>
              <w:rPr>
                <w:rFonts w:ascii="宋体" w:hAnsi="宋体" w:cs="宋体"/>
                <w:sz w:val="18"/>
                <w:szCs w:val="18"/>
              </w:rPr>
            </w:pPr>
            <w:r>
              <w:rPr>
                <w:rFonts w:ascii="宋体" w:hAnsi="宋体" w:cs="宋体"/>
                <w:spacing w:val="-2"/>
                <w:sz w:val="18"/>
                <w:szCs w:val="18"/>
              </w:rPr>
              <w:t>序号</w:t>
            </w:r>
          </w:p>
        </w:tc>
        <w:tc>
          <w:tcPr>
            <w:tcW w:w="1245" w:type="dxa"/>
            <w:vAlign w:val="center"/>
          </w:tcPr>
          <w:p w14:paraId="5367CC35" w14:textId="77777777" w:rsidR="00126CB1" w:rsidRDefault="005D0D44">
            <w:pPr>
              <w:widowControl/>
              <w:adjustRightInd w:val="0"/>
              <w:snapToGrid w:val="0"/>
              <w:spacing w:line="219" w:lineRule="auto"/>
              <w:jc w:val="center"/>
              <w:rPr>
                <w:rFonts w:ascii="宋体" w:hAnsi="宋体" w:cs="宋体"/>
                <w:sz w:val="18"/>
                <w:szCs w:val="18"/>
              </w:rPr>
            </w:pPr>
            <w:r>
              <w:rPr>
                <w:rFonts w:ascii="宋体" w:hAnsi="宋体" w:cs="宋体"/>
                <w:spacing w:val="-2"/>
                <w:sz w:val="18"/>
                <w:szCs w:val="18"/>
              </w:rPr>
              <w:t>标</w:t>
            </w:r>
            <w:r>
              <w:rPr>
                <w:rFonts w:ascii="宋体" w:hAnsi="宋体" w:cs="宋体"/>
                <w:spacing w:val="-1"/>
                <w:sz w:val="18"/>
                <w:szCs w:val="18"/>
              </w:rPr>
              <w:t>准章条编号</w:t>
            </w:r>
          </w:p>
        </w:tc>
        <w:tc>
          <w:tcPr>
            <w:tcW w:w="4155" w:type="dxa"/>
            <w:vAlign w:val="center"/>
          </w:tcPr>
          <w:p w14:paraId="4BD638A0" w14:textId="77777777" w:rsidR="00126CB1" w:rsidRDefault="005D0D44">
            <w:pPr>
              <w:widowControl/>
              <w:adjustRightInd w:val="0"/>
              <w:snapToGrid w:val="0"/>
              <w:spacing w:line="220" w:lineRule="auto"/>
              <w:jc w:val="center"/>
              <w:rPr>
                <w:rFonts w:ascii="宋体" w:hAnsi="宋体" w:cs="宋体"/>
                <w:sz w:val="18"/>
                <w:szCs w:val="18"/>
              </w:rPr>
            </w:pPr>
            <w:r>
              <w:rPr>
                <w:rFonts w:ascii="宋体" w:hAnsi="宋体" w:cs="宋体"/>
                <w:spacing w:val="-3"/>
                <w:sz w:val="18"/>
                <w:szCs w:val="18"/>
              </w:rPr>
              <w:t>意</w:t>
            </w:r>
            <w:r>
              <w:rPr>
                <w:rFonts w:ascii="宋体" w:hAnsi="宋体" w:cs="宋体"/>
                <w:spacing w:val="-2"/>
                <w:sz w:val="18"/>
                <w:szCs w:val="18"/>
              </w:rPr>
              <w:t>见内容</w:t>
            </w:r>
          </w:p>
        </w:tc>
        <w:tc>
          <w:tcPr>
            <w:tcW w:w="2355" w:type="dxa"/>
            <w:vAlign w:val="center"/>
          </w:tcPr>
          <w:p w14:paraId="277AACEF" w14:textId="77777777" w:rsidR="00126CB1" w:rsidRDefault="005D0D44">
            <w:pPr>
              <w:widowControl/>
              <w:adjustRightInd w:val="0"/>
              <w:snapToGrid w:val="0"/>
              <w:spacing w:line="220" w:lineRule="auto"/>
              <w:jc w:val="center"/>
              <w:rPr>
                <w:rFonts w:ascii="宋体" w:hAnsi="宋体" w:cs="宋体"/>
                <w:sz w:val="18"/>
                <w:szCs w:val="18"/>
              </w:rPr>
            </w:pPr>
            <w:r>
              <w:rPr>
                <w:rFonts w:ascii="宋体" w:hAnsi="宋体" w:cs="宋体"/>
                <w:spacing w:val="8"/>
                <w:sz w:val="18"/>
                <w:szCs w:val="18"/>
              </w:rPr>
              <w:t>提出单位(或个人</w:t>
            </w:r>
            <w:r>
              <w:rPr>
                <w:rFonts w:ascii="宋体" w:hAnsi="宋体" w:cs="宋体"/>
                <w:spacing w:val="6"/>
                <w:sz w:val="18"/>
                <w:szCs w:val="18"/>
              </w:rPr>
              <w:t>)</w:t>
            </w:r>
          </w:p>
        </w:tc>
        <w:tc>
          <w:tcPr>
            <w:tcW w:w="1770" w:type="dxa"/>
            <w:vAlign w:val="center"/>
          </w:tcPr>
          <w:p w14:paraId="33202C7D" w14:textId="77777777" w:rsidR="00126CB1" w:rsidRDefault="005D0D44">
            <w:pPr>
              <w:widowControl/>
              <w:adjustRightInd w:val="0"/>
              <w:snapToGrid w:val="0"/>
              <w:spacing w:line="337" w:lineRule="auto"/>
              <w:ind w:right="228"/>
              <w:jc w:val="center"/>
              <w:rPr>
                <w:rFonts w:ascii="宋体" w:hAnsi="宋体" w:cs="宋体"/>
                <w:sz w:val="18"/>
                <w:szCs w:val="18"/>
              </w:rPr>
            </w:pPr>
            <w:r>
              <w:rPr>
                <w:rFonts w:ascii="宋体" w:hAnsi="宋体" w:cs="宋体"/>
                <w:spacing w:val="-4"/>
                <w:sz w:val="18"/>
                <w:szCs w:val="18"/>
              </w:rPr>
              <w:t>处</w:t>
            </w:r>
            <w:r>
              <w:rPr>
                <w:rFonts w:ascii="宋体" w:hAnsi="宋体" w:cs="宋体"/>
                <w:spacing w:val="-3"/>
                <w:sz w:val="18"/>
                <w:szCs w:val="18"/>
              </w:rPr>
              <w:t>理</w:t>
            </w:r>
            <w:r>
              <w:rPr>
                <w:rFonts w:ascii="宋体" w:hAnsi="宋体" w:cs="宋体"/>
                <w:spacing w:val="-2"/>
                <w:sz w:val="18"/>
                <w:szCs w:val="18"/>
              </w:rPr>
              <w:t>意见</w:t>
            </w:r>
          </w:p>
          <w:p w14:paraId="59DE84C2" w14:textId="77777777" w:rsidR="00126CB1" w:rsidRDefault="005D0D44">
            <w:pPr>
              <w:widowControl/>
              <w:adjustRightInd w:val="0"/>
              <w:snapToGrid w:val="0"/>
              <w:spacing w:line="337" w:lineRule="auto"/>
              <w:ind w:right="228"/>
              <w:rPr>
                <w:rFonts w:ascii="宋体" w:hAnsi="宋体" w:cs="宋体"/>
                <w:sz w:val="18"/>
                <w:szCs w:val="18"/>
              </w:rPr>
            </w:pPr>
            <w:r>
              <w:rPr>
                <w:rFonts w:ascii="宋体" w:hAnsi="宋体" w:cs="宋体"/>
                <w:sz w:val="18"/>
                <w:szCs w:val="18"/>
              </w:rPr>
              <w:t xml:space="preserve">  </w:t>
            </w:r>
            <w:r>
              <w:rPr>
                <w:rFonts w:ascii="宋体" w:hAnsi="宋体" w:cs="宋体"/>
                <w:spacing w:val="10"/>
                <w:sz w:val="18"/>
                <w:szCs w:val="18"/>
              </w:rPr>
              <w:t>(</w:t>
            </w:r>
            <w:r>
              <w:rPr>
                <w:rFonts w:ascii="宋体" w:hAnsi="宋体" w:cs="宋体"/>
                <w:spacing w:val="8"/>
                <w:sz w:val="18"/>
                <w:szCs w:val="18"/>
              </w:rPr>
              <w:t>采纳</w:t>
            </w:r>
            <w:r>
              <w:rPr>
                <w:rFonts w:ascii="Calibri" w:eastAsia="Calibri" w:hAnsi="Calibri" w:cs="Calibri"/>
                <w:spacing w:val="8"/>
                <w:sz w:val="18"/>
                <w:szCs w:val="18"/>
              </w:rPr>
              <w:t>/</w:t>
            </w:r>
            <w:r>
              <w:rPr>
                <w:rFonts w:ascii="宋体" w:hAnsi="宋体" w:cs="宋体"/>
                <w:spacing w:val="8"/>
                <w:sz w:val="18"/>
                <w:szCs w:val="18"/>
              </w:rPr>
              <w:t>不采纳)</w:t>
            </w:r>
          </w:p>
        </w:tc>
        <w:tc>
          <w:tcPr>
            <w:tcW w:w="3794" w:type="dxa"/>
            <w:vAlign w:val="center"/>
          </w:tcPr>
          <w:p w14:paraId="03BFD8D8" w14:textId="77777777" w:rsidR="00126CB1" w:rsidRDefault="005D0D44">
            <w:pPr>
              <w:widowControl/>
              <w:adjustRightInd w:val="0"/>
              <w:snapToGrid w:val="0"/>
              <w:spacing w:line="312" w:lineRule="exact"/>
              <w:jc w:val="center"/>
              <w:rPr>
                <w:rFonts w:ascii="宋体" w:hAnsi="宋体" w:cs="宋体"/>
                <w:sz w:val="18"/>
                <w:szCs w:val="18"/>
              </w:rPr>
            </w:pPr>
            <w:r>
              <w:rPr>
                <w:rFonts w:ascii="宋体" w:hAnsi="宋体" w:cs="宋体"/>
                <w:spacing w:val="-2"/>
                <w:position w:val="9"/>
                <w:sz w:val="18"/>
                <w:szCs w:val="18"/>
              </w:rPr>
              <w:t>意见处理</w:t>
            </w:r>
            <w:r>
              <w:rPr>
                <w:rFonts w:ascii="宋体" w:hAnsi="宋体" w:cs="宋体"/>
                <w:spacing w:val="-1"/>
                <w:position w:val="9"/>
                <w:sz w:val="18"/>
                <w:szCs w:val="18"/>
              </w:rPr>
              <w:t>说明</w:t>
            </w:r>
          </w:p>
          <w:p w14:paraId="03DC412B" w14:textId="77777777" w:rsidR="00126CB1" w:rsidRDefault="005D0D44">
            <w:pPr>
              <w:widowControl/>
              <w:adjustRightInd w:val="0"/>
              <w:snapToGrid w:val="0"/>
              <w:spacing w:line="218" w:lineRule="auto"/>
              <w:jc w:val="center"/>
              <w:rPr>
                <w:rFonts w:ascii="宋体" w:hAnsi="宋体" w:cs="宋体"/>
                <w:sz w:val="18"/>
                <w:szCs w:val="18"/>
              </w:rPr>
            </w:pPr>
            <w:r>
              <w:rPr>
                <w:rFonts w:ascii="宋体" w:hAnsi="宋体" w:cs="宋体"/>
                <w:spacing w:val="10"/>
                <w:sz w:val="18"/>
                <w:szCs w:val="18"/>
              </w:rPr>
              <w:t>(</w:t>
            </w:r>
            <w:r>
              <w:rPr>
                <w:rFonts w:ascii="宋体" w:hAnsi="宋体" w:cs="宋体"/>
                <w:spacing w:val="7"/>
                <w:sz w:val="18"/>
                <w:szCs w:val="18"/>
              </w:rPr>
              <w:t>不采纳的理由等)</w:t>
            </w:r>
          </w:p>
        </w:tc>
      </w:tr>
      <w:tr w:rsidR="00126CB1" w14:paraId="1B756222" w14:textId="77777777">
        <w:trPr>
          <w:trHeight w:val="549"/>
        </w:trPr>
        <w:tc>
          <w:tcPr>
            <w:tcW w:w="661" w:type="dxa"/>
            <w:vAlign w:val="center"/>
          </w:tcPr>
          <w:p w14:paraId="4855A822" w14:textId="77777777" w:rsidR="00126CB1" w:rsidRDefault="005D0D44">
            <w:pPr>
              <w:widowControl/>
              <w:adjustRightInd w:val="0"/>
              <w:snapToGrid w:val="0"/>
              <w:jc w:val="center"/>
              <w:rPr>
                <w:rFonts w:ascii="Arial"/>
              </w:rPr>
            </w:pPr>
            <w:r>
              <w:rPr>
                <w:rFonts w:ascii="Arial" w:hint="eastAsia"/>
              </w:rPr>
              <w:t>1</w:t>
            </w:r>
          </w:p>
        </w:tc>
        <w:tc>
          <w:tcPr>
            <w:tcW w:w="1245" w:type="dxa"/>
            <w:vAlign w:val="center"/>
          </w:tcPr>
          <w:p w14:paraId="0A7A5A44"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5.1</w:t>
            </w:r>
          </w:p>
        </w:tc>
        <w:tc>
          <w:tcPr>
            <w:tcW w:w="4155" w:type="dxa"/>
            <w:vAlign w:val="center"/>
          </w:tcPr>
          <w:p w14:paraId="4A32AE09" w14:textId="77777777" w:rsidR="00126CB1" w:rsidRDefault="005D0D44">
            <w:pPr>
              <w:widowControl/>
              <w:adjustRightInd w:val="0"/>
              <w:snapToGrid w:val="0"/>
              <w:spacing w:line="219" w:lineRule="auto"/>
              <w:rPr>
                <w:rFonts w:ascii="宋体" w:hAnsi="宋体" w:cs="宋体"/>
                <w:spacing w:val="-2"/>
                <w:sz w:val="18"/>
                <w:szCs w:val="18"/>
              </w:rPr>
            </w:pPr>
            <w:r>
              <w:rPr>
                <w:rFonts w:ascii="宋体" w:hAnsi="宋体" w:cs="宋体" w:hint="eastAsia"/>
                <w:spacing w:val="-2"/>
                <w:sz w:val="18"/>
                <w:szCs w:val="18"/>
              </w:rPr>
              <w:t>建议增加采收成熟度及果实品质参数指标。</w:t>
            </w:r>
          </w:p>
        </w:tc>
        <w:tc>
          <w:tcPr>
            <w:tcW w:w="2355" w:type="dxa"/>
            <w:vAlign w:val="center"/>
          </w:tcPr>
          <w:p w14:paraId="6B4F03AF" w14:textId="77777777" w:rsidR="00126CB1" w:rsidRDefault="005D0D44">
            <w:pPr>
              <w:widowControl/>
              <w:adjustRightInd w:val="0"/>
              <w:snapToGrid w:val="0"/>
              <w:spacing w:line="219" w:lineRule="auto"/>
              <w:jc w:val="left"/>
              <w:rPr>
                <w:rFonts w:ascii="Arial"/>
              </w:rPr>
            </w:pPr>
            <w:r>
              <w:rPr>
                <w:rFonts w:ascii="宋体" w:hAnsi="宋体" w:cs="宋体" w:hint="eastAsia"/>
                <w:spacing w:val="-2"/>
                <w:sz w:val="18"/>
                <w:szCs w:val="18"/>
              </w:rPr>
              <w:t>山西农业大学园艺学院</w:t>
            </w:r>
          </w:p>
        </w:tc>
        <w:tc>
          <w:tcPr>
            <w:tcW w:w="1770" w:type="dxa"/>
            <w:vAlign w:val="center"/>
          </w:tcPr>
          <w:p w14:paraId="3E1C2890"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部分采纳</w:t>
            </w:r>
          </w:p>
        </w:tc>
        <w:tc>
          <w:tcPr>
            <w:tcW w:w="3794" w:type="dxa"/>
            <w:vAlign w:val="center"/>
          </w:tcPr>
          <w:p w14:paraId="10571055" w14:textId="77777777" w:rsidR="00126CB1" w:rsidRDefault="005D0D44">
            <w:pPr>
              <w:widowControl/>
              <w:adjustRightInd w:val="0"/>
              <w:snapToGrid w:val="0"/>
              <w:rPr>
                <w:rFonts w:ascii="Arial" w:eastAsia="微软雅黑"/>
              </w:rPr>
            </w:pPr>
            <w:r>
              <w:rPr>
                <w:rFonts w:ascii="宋体" w:hAnsi="宋体" w:cs="宋体" w:hint="eastAsia"/>
                <w:spacing w:val="-2"/>
                <w:sz w:val="18"/>
                <w:szCs w:val="18"/>
              </w:rPr>
              <w:t>可溶性固形物和硬度等技术指标因品种差异较大，为此建议根据不同品种外观特性判定采收成熟度。</w:t>
            </w:r>
          </w:p>
        </w:tc>
      </w:tr>
      <w:tr w:rsidR="00126CB1" w14:paraId="1ADAC08E" w14:textId="77777777">
        <w:trPr>
          <w:trHeight w:val="549"/>
        </w:trPr>
        <w:tc>
          <w:tcPr>
            <w:tcW w:w="661" w:type="dxa"/>
            <w:vAlign w:val="center"/>
          </w:tcPr>
          <w:p w14:paraId="6CAB7398" w14:textId="77777777" w:rsidR="00126CB1" w:rsidRDefault="005D0D44">
            <w:pPr>
              <w:widowControl/>
              <w:adjustRightInd w:val="0"/>
              <w:snapToGrid w:val="0"/>
              <w:jc w:val="center"/>
              <w:rPr>
                <w:rFonts w:ascii="Arial"/>
              </w:rPr>
            </w:pPr>
            <w:r>
              <w:rPr>
                <w:rFonts w:ascii="Arial" w:hint="eastAsia"/>
              </w:rPr>
              <w:t>2</w:t>
            </w:r>
          </w:p>
        </w:tc>
        <w:tc>
          <w:tcPr>
            <w:tcW w:w="1245" w:type="dxa"/>
            <w:vAlign w:val="center"/>
          </w:tcPr>
          <w:p w14:paraId="7B7E4476"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9.6</w:t>
            </w:r>
          </w:p>
        </w:tc>
        <w:tc>
          <w:tcPr>
            <w:tcW w:w="4155" w:type="dxa"/>
            <w:vAlign w:val="center"/>
          </w:tcPr>
          <w:p w14:paraId="58B5F14D"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简化电器和库房运行管理要求，建议参考冷库管理规范。</w:t>
            </w:r>
          </w:p>
        </w:tc>
        <w:tc>
          <w:tcPr>
            <w:tcW w:w="2355" w:type="dxa"/>
            <w:vAlign w:val="center"/>
          </w:tcPr>
          <w:p w14:paraId="6CFF007B" w14:textId="77777777" w:rsidR="00126CB1" w:rsidRDefault="005D0D44">
            <w:pPr>
              <w:widowControl/>
              <w:adjustRightInd w:val="0"/>
              <w:snapToGrid w:val="0"/>
              <w:spacing w:line="219" w:lineRule="auto"/>
              <w:jc w:val="left"/>
              <w:rPr>
                <w:rFonts w:ascii="Arial"/>
              </w:rPr>
            </w:pPr>
            <w:r>
              <w:rPr>
                <w:rFonts w:ascii="宋体" w:hAnsi="宋体" w:cs="宋体" w:hint="eastAsia"/>
                <w:spacing w:val="-2"/>
                <w:sz w:val="18"/>
                <w:szCs w:val="18"/>
              </w:rPr>
              <w:t>山西省制冷协会</w:t>
            </w:r>
          </w:p>
        </w:tc>
        <w:tc>
          <w:tcPr>
            <w:tcW w:w="1770" w:type="dxa"/>
            <w:vAlign w:val="center"/>
          </w:tcPr>
          <w:p w14:paraId="18DFD540"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7824AB7C" w14:textId="77777777" w:rsidR="00126CB1" w:rsidRDefault="005D0D44">
            <w:pPr>
              <w:widowControl/>
              <w:adjustRightInd w:val="0"/>
              <w:snapToGrid w:val="0"/>
              <w:rPr>
                <w:rFonts w:ascii="Arial" w:eastAsia="微软雅黑"/>
              </w:rPr>
            </w:pPr>
            <w:r>
              <w:rPr>
                <w:rFonts w:ascii="宋体" w:hAnsi="宋体" w:cs="宋体" w:hint="eastAsia"/>
                <w:spacing w:val="-2"/>
                <w:sz w:val="18"/>
                <w:szCs w:val="18"/>
              </w:rPr>
              <w:t>参照国标相关规定，增加了制冷系统、给排水系统及冷库运行管理要求。</w:t>
            </w:r>
          </w:p>
        </w:tc>
      </w:tr>
      <w:tr w:rsidR="00126CB1" w14:paraId="529B7807" w14:textId="77777777">
        <w:trPr>
          <w:trHeight w:val="549"/>
        </w:trPr>
        <w:tc>
          <w:tcPr>
            <w:tcW w:w="661" w:type="dxa"/>
            <w:vAlign w:val="center"/>
          </w:tcPr>
          <w:p w14:paraId="7B45B23E"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3</w:t>
            </w:r>
          </w:p>
        </w:tc>
        <w:tc>
          <w:tcPr>
            <w:tcW w:w="1245" w:type="dxa"/>
            <w:vAlign w:val="center"/>
          </w:tcPr>
          <w:p w14:paraId="011D2257"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7</w:t>
            </w:r>
          </w:p>
        </w:tc>
        <w:tc>
          <w:tcPr>
            <w:tcW w:w="4155" w:type="dxa"/>
            <w:vAlign w:val="center"/>
          </w:tcPr>
          <w:p w14:paraId="3E592F87"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建议将预冷、码垛与入库整合。</w:t>
            </w:r>
          </w:p>
        </w:tc>
        <w:tc>
          <w:tcPr>
            <w:tcW w:w="2355" w:type="dxa"/>
            <w:vAlign w:val="center"/>
          </w:tcPr>
          <w:p w14:paraId="59EFD720" w14:textId="77777777" w:rsidR="00126CB1" w:rsidRDefault="005D0D44">
            <w:pPr>
              <w:widowControl/>
              <w:adjustRightInd w:val="0"/>
              <w:snapToGrid w:val="0"/>
              <w:spacing w:line="219" w:lineRule="auto"/>
              <w:jc w:val="left"/>
              <w:rPr>
                <w:rFonts w:ascii="Arial" w:eastAsia="微软雅黑" w:hAnsi="Tahoma" w:cstheme="minorBidi"/>
                <w:szCs w:val="22"/>
              </w:rPr>
            </w:pPr>
            <w:r>
              <w:rPr>
                <w:rFonts w:ascii="宋体" w:hAnsi="宋体" w:cs="宋体" w:hint="eastAsia"/>
                <w:spacing w:val="-2"/>
                <w:sz w:val="18"/>
                <w:szCs w:val="18"/>
              </w:rPr>
              <w:t>山西省制冷协会</w:t>
            </w:r>
          </w:p>
        </w:tc>
        <w:tc>
          <w:tcPr>
            <w:tcW w:w="1770" w:type="dxa"/>
            <w:vAlign w:val="center"/>
          </w:tcPr>
          <w:p w14:paraId="0BC50BE2"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289E9BE7" w14:textId="77777777" w:rsidR="00126CB1" w:rsidRDefault="005D0D44">
            <w:pPr>
              <w:widowControl/>
              <w:adjustRightInd w:val="0"/>
              <w:snapToGrid w:val="0"/>
              <w:rPr>
                <w:rFonts w:ascii="宋体" w:hAnsi="宋体" w:cs="宋体"/>
                <w:spacing w:val="-2"/>
                <w:sz w:val="18"/>
                <w:szCs w:val="18"/>
              </w:rPr>
            </w:pPr>
            <w:r>
              <w:rPr>
                <w:rFonts w:ascii="宋体" w:hAnsi="宋体" w:cs="宋体" w:hint="eastAsia"/>
                <w:spacing w:val="-2"/>
                <w:sz w:val="18"/>
                <w:szCs w:val="18"/>
              </w:rPr>
              <w:t>考虑3个环节相互影响，已整合，达到快速入库预冷降低田间热的目的。</w:t>
            </w:r>
          </w:p>
        </w:tc>
      </w:tr>
      <w:tr w:rsidR="00126CB1" w14:paraId="55C6F684" w14:textId="77777777">
        <w:trPr>
          <w:trHeight w:val="546"/>
        </w:trPr>
        <w:tc>
          <w:tcPr>
            <w:tcW w:w="661" w:type="dxa"/>
            <w:vAlign w:val="center"/>
          </w:tcPr>
          <w:p w14:paraId="1D766827"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4</w:t>
            </w:r>
          </w:p>
        </w:tc>
        <w:tc>
          <w:tcPr>
            <w:tcW w:w="1245" w:type="dxa"/>
            <w:vAlign w:val="center"/>
          </w:tcPr>
          <w:p w14:paraId="534F0BC6"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3</w:t>
            </w:r>
          </w:p>
        </w:tc>
        <w:tc>
          <w:tcPr>
            <w:tcW w:w="4155" w:type="dxa"/>
            <w:vAlign w:val="center"/>
          </w:tcPr>
          <w:p w14:paraId="53428743"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建议增加采前杀菌剂等药剂使用的要求。</w:t>
            </w:r>
          </w:p>
        </w:tc>
        <w:tc>
          <w:tcPr>
            <w:tcW w:w="2355" w:type="dxa"/>
            <w:vAlign w:val="center"/>
          </w:tcPr>
          <w:p w14:paraId="0106855A" w14:textId="77777777" w:rsidR="00126CB1" w:rsidRDefault="005D0D44">
            <w:pPr>
              <w:widowControl/>
              <w:adjustRightInd w:val="0"/>
              <w:snapToGrid w:val="0"/>
              <w:spacing w:line="219" w:lineRule="auto"/>
              <w:jc w:val="left"/>
              <w:rPr>
                <w:rFonts w:ascii="Arial"/>
              </w:rPr>
            </w:pPr>
            <w:r>
              <w:rPr>
                <w:rFonts w:ascii="宋体" w:hAnsi="宋体" w:cs="宋体" w:hint="eastAsia"/>
                <w:spacing w:val="-2"/>
                <w:sz w:val="18"/>
                <w:szCs w:val="18"/>
              </w:rPr>
              <w:t>平陆县果业发展中心</w:t>
            </w:r>
          </w:p>
        </w:tc>
        <w:tc>
          <w:tcPr>
            <w:tcW w:w="1770" w:type="dxa"/>
            <w:vAlign w:val="center"/>
          </w:tcPr>
          <w:p w14:paraId="6329312A"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2CED6421" w14:textId="77777777" w:rsidR="00126CB1" w:rsidRDefault="005D0D44">
            <w:pPr>
              <w:widowControl/>
              <w:adjustRightInd w:val="0"/>
              <w:snapToGrid w:val="0"/>
              <w:rPr>
                <w:rFonts w:ascii="Arial" w:eastAsia="微软雅黑"/>
              </w:rPr>
            </w:pPr>
            <w:r>
              <w:rPr>
                <w:rFonts w:ascii="宋体" w:hAnsi="宋体" w:cs="宋体" w:hint="eastAsia"/>
                <w:spacing w:val="-2"/>
                <w:sz w:val="18"/>
                <w:szCs w:val="18"/>
              </w:rPr>
              <w:t>已在3.3中增加相关要求。</w:t>
            </w:r>
          </w:p>
        </w:tc>
      </w:tr>
      <w:tr w:rsidR="00126CB1" w14:paraId="5AC2FA17" w14:textId="77777777">
        <w:trPr>
          <w:trHeight w:val="546"/>
        </w:trPr>
        <w:tc>
          <w:tcPr>
            <w:tcW w:w="661" w:type="dxa"/>
            <w:vAlign w:val="center"/>
          </w:tcPr>
          <w:p w14:paraId="24240167"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5</w:t>
            </w:r>
          </w:p>
        </w:tc>
        <w:tc>
          <w:tcPr>
            <w:tcW w:w="1245" w:type="dxa"/>
            <w:vAlign w:val="center"/>
          </w:tcPr>
          <w:p w14:paraId="1A2BD6BB"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5.2</w:t>
            </w:r>
          </w:p>
        </w:tc>
        <w:tc>
          <w:tcPr>
            <w:tcW w:w="4155" w:type="dxa"/>
            <w:vAlign w:val="center"/>
          </w:tcPr>
          <w:p w14:paraId="2C875EA5"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建议增加采收容器缓存保护性要求。</w:t>
            </w:r>
          </w:p>
        </w:tc>
        <w:tc>
          <w:tcPr>
            <w:tcW w:w="2355" w:type="dxa"/>
            <w:vAlign w:val="center"/>
          </w:tcPr>
          <w:p w14:paraId="15E6B279" w14:textId="77777777" w:rsidR="00126CB1" w:rsidRDefault="005D0D44">
            <w:pPr>
              <w:widowControl/>
              <w:adjustRightInd w:val="0"/>
              <w:snapToGrid w:val="0"/>
              <w:spacing w:line="219" w:lineRule="auto"/>
              <w:jc w:val="left"/>
              <w:rPr>
                <w:rFonts w:ascii="Arial" w:eastAsia="微软雅黑" w:hAnsi="Tahoma" w:cstheme="minorBidi"/>
                <w:szCs w:val="22"/>
              </w:rPr>
            </w:pPr>
            <w:r>
              <w:rPr>
                <w:rFonts w:ascii="宋体" w:hAnsi="宋体" w:cs="宋体" w:hint="eastAsia"/>
                <w:spacing w:val="-2"/>
                <w:sz w:val="18"/>
                <w:szCs w:val="18"/>
              </w:rPr>
              <w:t>平陆县果业发展中心</w:t>
            </w:r>
          </w:p>
        </w:tc>
        <w:tc>
          <w:tcPr>
            <w:tcW w:w="1770" w:type="dxa"/>
            <w:vAlign w:val="center"/>
          </w:tcPr>
          <w:p w14:paraId="59AFA332"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5AC19906"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增加了采收容器衬垫物的要求。</w:t>
            </w:r>
          </w:p>
        </w:tc>
      </w:tr>
      <w:tr w:rsidR="00126CB1" w14:paraId="0D7A2579" w14:textId="77777777">
        <w:trPr>
          <w:trHeight w:val="549"/>
        </w:trPr>
        <w:tc>
          <w:tcPr>
            <w:tcW w:w="661" w:type="dxa"/>
            <w:vAlign w:val="center"/>
          </w:tcPr>
          <w:p w14:paraId="70A81792"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6</w:t>
            </w:r>
          </w:p>
        </w:tc>
        <w:tc>
          <w:tcPr>
            <w:tcW w:w="1245" w:type="dxa"/>
            <w:vAlign w:val="center"/>
          </w:tcPr>
          <w:p w14:paraId="210A60CA"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9.6</w:t>
            </w:r>
          </w:p>
        </w:tc>
        <w:tc>
          <w:tcPr>
            <w:tcW w:w="4155" w:type="dxa"/>
            <w:vAlign w:val="center"/>
          </w:tcPr>
          <w:p w14:paraId="25ADFD61"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建议增加冷库化霜等设备运行技术要求。</w:t>
            </w:r>
          </w:p>
        </w:tc>
        <w:tc>
          <w:tcPr>
            <w:tcW w:w="2355" w:type="dxa"/>
            <w:vAlign w:val="center"/>
          </w:tcPr>
          <w:p w14:paraId="174EFD9C" w14:textId="77777777" w:rsidR="00126CB1" w:rsidRDefault="005D0D44">
            <w:pPr>
              <w:widowControl/>
              <w:adjustRightInd w:val="0"/>
              <w:snapToGrid w:val="0"/>
              <w:spacing w:line="219" w:lineRule="auto"/>
              <w:jc w:val="left"/>
              <w:rPr>
                <w:rFonts w:ascii="Arial"/>
              </w:rPr>
            </w:pPr>
            <w:r>
              <w:rPr>
                <w:rFonts w:ascii="宋体" w:hAnsi="宋体" w:cs="宋体" w:hint="eastAsia"/>
                <w:spacing w:val="-2"/>
                <w:sz w:val="18"/>
                <w:szCs w:val="18"/>
              </w:rPr>
              <w:t>太原市禾康农副产品技术服务有限公司</w:t>
            </w:r>
          </w:p>
        </w:tc>
        <w:tc>
          <w:tcPr>
            <w:tcW w:w="1770" w:type="dxa"/>
            <w:vAlign w:val="center"/>
          </w:tcPr>
          <w:p w14:paraId="3CDA717A"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261793C3" w14:textId="77777777" w:rsidR="00126CB1" w:rsidRDefault="005D0D44">
            <w:pPr>
              <w:widowControl/>
              <w:adjustRightInd w:val="0"/>
              <w:snapToGrid w:val="0"/>
              <w:spacing w:line="219" w:lineRule="auto"/>
              <w:rPr>
                <w:rFonts w:ascii="宋体" w:hAnsi="宋体" w:cs="宋体"/>
                <w:spacing w:val="-2"/>
                <w:sz w:val="18"/>
                <w:szCs w:val="18"/>
              </w:rPr>
            </w:pPr>
            <w:r>
              <w:rPr>
                <w:rFonts w:ascii="宋体" w:hAnsi="宋体" w:cs="宋体" w:hint="eastAsia"/>
                <w:spacing w:val="-2"/>
                <w:sz w:val="18"/>
                <w:szCs w:val="18"/>
              </w:rPr>
              <w:t>参照国标相关规定，增加了制冷系统、给排水系统及冷库运行管理要求。</w:t>
            </w:r>
          </w:p>
        </w:tc>
      </w:tr>
      <w:tr w:rsidR="00126CB1" w14:paraId="77B9D15D" w14:textId="77777777">
        <w:trPr>
          <w:trHeight w:val="549"/>
        </w:trPr>
        <w:tc>
          <w:tcPr>
            <w:tcW w:w="661" w:type="dxa"/>
            <w:vAlign w:val="center"/>
          </w:tcPr>
          <w:p w14:paraId="3DAD1CB7"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7</w:t>
            </w:r>
          </w:p>
        </w:tc>
        <w:tc>
          <w:tcPr>
            <w:tcW w:w="1245" w:type="dxa"/>
            <w:vAlign w:val="center"/>
          </w:tcPr>
          <w:p w14:paraId="437D2B5A"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6</w:t>
            </w:r>
          </w:p>
        </w:tc>
        <w:tc>
          <w:tcPr>
            <w:tcW w:w="4155" w:type="dxa"/>
          </w:tcPr>
          <w:p w14:paraId="3FC1DAC6" w14:textId="77777777" w:rsidR="00126CB1" w:rsidRDefault="00126CB1">
            <w:pPr>
              <w:widowControl/>
              <w:adjustRightInd w:val="0"/>
              <w:snapToGrid w:val="0"/>
              <w:spacing w:line="219" w:lineRule="auto"/>
              <w:jc w:val="left"/>
              <w:rPr>
                <w:rFonts w:ascii="宋体" w:hAnsi="宋体" w:cs="宋体"/>
                <w:spacing w:val="-2"/>
                <w:sz w:val="18"/>
                <w:szCs w:val="18"/>
              </w:rPr>
            </w:pPr>
          </w:p>
          <w:p w14:paraId="667245D3"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 xml:space="preserve">建议增加分层分隔的保护性包装要求。 </w:t>
            </w:r>
          </w:p>
          <w:p w14:paraId="68757160" w14:textId="77777777" w:rsidR="00126CB1" w:rsidRDefault="00126CB1">
            <w:pPr>
              <w:widowControl/>
              <w:adjustRightInd w:val="0"/>
              <w:snapToGrid w:val="0"/>
              <w:spacing w:line="219" w:lineRule="auto"/>
              <w:jc w:val="left"/>
              <w:rPr>
                <w:rFonts w:ascii="宋体" w:hAnsi="宋体" w:cs="宋体"/>
                <w:spacing w:val="-2"/>
                <w:sz w:val="18"/>
                <w:szCs w:val="18"/>
              </w:rPr>
            </w:pPr>
          </w:p>
        </w:tc>
        <w:tc>
          <w:tcPr>
            <w:tcW w:w="2355" w:type="dxa"/>
            <w:vAlign w:val="center"/>
          </w:tcPr>
          <w:p w14:paraId="381E748B"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平陆县金童果业专业合作社</w:t>
            </w:r>
          </w:p>
        </w:tc>
        <w:tc>
          <w:tcPr>
            <w:tcW w:w="1770" w:type="dxa"/>
            <w:vAlign w:val="center"/>
          </w:tcPr>
          <w:p w14:paraId="4F598436"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19772D43" w14:textId="77777777" w:rsidR="00126CB1" w:rsidRDefault="005D0D44">
            <w:pPr>
              <w:widowControl/>
              <w:adjustRightInd w:val="0"/>
              <w:snapToGrid w:val="0"/>
              <w:spacing w:line="219" w:lineRule="auto"/>
              <w:rPr>
                <w:rFonts w:ascii="宋体" w:hAnsi="宋体" w:cs="宋体"/>
                <w:spacing w:val="-2"/>
                <w:sz w:val="18"/>
                <w:szCs w:val="18"/>
              </w:rPr>
            </w:pPr>
            <w:r>
              <w:rPr>
                <w:rFonts w:ascii="宋体" w:hAnsi="宋体" w:cs="宋体" w:hint="eastAsia"/>
                <w:spacing w:val="-2"/>
                <w:sz w:val="18"/>
                <w:szCs w:val="18"/>
              </w:rPr>
              <w:t>增加保护性包装，已减少贮运中磕碰伤。</w:t>
            </w:r>
          </w:p>
        </w:tc>
      </w:tr>
      <w:tr w:rsidR="00126CB1" w14:paraId="0741F562" w14:textId="77777777">
        <w:trPr>
          <w:trHeight w:val="549"/>
        </w:trPr>
        <w:tc>
          <w:tcPr>
            <w:tcW w:w="661" w:type="dxa"/>
            <w:vAlign w:val="center"/>
          </w:tcPr>
          <w:p w14:paraId="489BD120"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8</w:t>
            </w:r>
          </w:p>
        </w:tc>
        <w:tc>
          <w:tcPr>
            <w:tcW w:w="1245" w:type="dxa"/>
            <w:vAlign w:val="center"/>
          </w:tcPr>
          <w:p w14:paraId="2778C202"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7</w:t>
            </w:r>
          </w:p>
        </w:tc>
        <w:tc>
          <w:tcPr>
            <w:tcW w:w="4155" w:type="dxa"/>
            <w:vAlign w:val="center"/>
          </w:tcPr>
          <w:p w14:paraId="27C0ABE4" w14:textId="77777777" w:rsidR="00126CB1" w:rsidRDefault="005D0D44">
            <w:pPr>
              <w:widowControl/>
              <w:adjustRightInd w:val="0"/>
              <w:snapToGrid w:val="0"/>
              <w:spacing w:line="219" w:lineRule="auto"/>
              <w:rPr>
                <w:rFonts w:ascii="宋体" w:hAnsi="宋体" w:cs="宋体"/>
                <w:spacing w:val="-2"/>
                <w:sz w:val="18"/>
                <w:szCs w:val="18"/>
              </w:rPr>
            </w:pPr>
            <w:r>
              <w:rPr>
                <w:rFonts w:ascii="宋体" w:hAnsi="宋体" w:cs="宋体" w:hint="eastAsia"/>
                <w:spacing w:val="-2"/>
                <w:sz w:val="18"/>
                <w:szCs w:val="18"/>
              </w:rPr>
              <w:t>建议增加入贮预冷果品库容量要求。</w:t>
            </w:r>
          </w:p>
        </w:tc>
        <w:tc>
          <w:tcPr>
            <w:tcW w:w="2355" w:type="dxa"/>
            <w:vAlign w:val="center"/>
          </w:tcPr>
          <w:p w14:paraId="4768B4E6"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平陆县金童果业专业合作社</w:t>
            </w:r>
          </w:p>
        </w:tc>
        <w:tc>
          <w:tcPr>
            <w:tcW w:w="1770" w:type="dxa"/>
            <w:vAlign w:val="center"/>
          </w:tcPr>
          <w:p w14:paraId="7AF174D9"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6249DA09" w14:textId="77777777" w:rsidR="00126CB1" w:rsidRDefault="005D0D44">
            <w:pPr>
              <w:widowControl/>
              <w:adjustRightInd w:val="0"/>
              <w:snapToGrid w:val="0"/>
              <w:rPr>
                <w:rFonts w:ascii="Arial" w:eastAsia="微软雅黑"/>
              </w:rPr>
            </w:pPr>
            <w:r>
              <w:rPr>
                <w:rFonts w:ascii="宋体" w:hAnsi="宋体" w:cs="宋体" w:hint="eastAsia"/>
                <w:spacing w:val="-2"/>
                <w:sz w:val="18"/>
                <w:szCs w:val="18"/>
              </w:rPr>
              <w:t>已在7.1增加相关要求，以达到快速预冷的目的。</w:t>
            </w:r>
          </w:p>
        </w:tc>
      </w:tr>
      <w:tr w:rsidR="00126CB1" w14:paraId="26A80150" w14:textId="77777777">
        <w:trPr>
          <w:trHeight w:val="549"/>
        </w:trPr>
        <w:tc>
          <w:tcPr>
            <w:tcW w:w="661" w:type="dxa"/>
            <w:vAlign w:val="center"/>
          </w:tcPr>
          <w:p w14:paraId="26A566AB" w14:textId="77777777" w:rsidR="00126CB1" w:rsidRDefault="005D0D44">
            <w:pPr>
              <w:widowControl/>
              <w:adjustRightInd w:val="0"/>
              <w:snapToGrid w:val="0"/>
              <w:jc w:val="center"/>
              <w:rPr>
                <w:rFonts w:ascii="Arial" w:eastAsia="微软雅黑" w:hAnsi="Tahoma" w:cstheme="minorBidi"/>
                <w:szCs w:val="22"/>
              </w:rPr>
            </w:pPr>
            <w:r>
              <w:rPr>
                <w:rFonts w:ascii="Arial" w:hint="eastAsia"/>
              </w:rPr>
              <w:t>9</w:t>
            </w:r>
          </w:p>
        </w:tc>
        <w:tc>
          <w:tcPr>
            <w:tcW w:w="1245" w:type="dxa"/>
            <w:vAlign w:val="center"/>
          </w:tcPr>
          <w:p w14:paraId="59DA3041" w14:textId="77777777" w:rsidR="00126CB1" w:rsidRDefault="005D0D44">
            <w:pPr>
              <w:widowControl/>
              <w:adjustRightInd w:val="0"/>
              <w:snapToGrid w:val="0"/>
              <w:jc w:val="center"/>
              <w:rPr>
                <w:rFonts w:ascii="Arial" w:eastAsia="微软雅黑"/>
              </w:rPr>
            </w:pPr>
            <w:r>
              <w:rPr>
                <w:rFonts w:ascii="宋体" w:hAnsi="宋体" w:cs="宋体" w:hint="eastAsia"/>
                <w:spacing w:val="-2"/>
                <w:sz w:val="18"/>
                <w:szCs w:val="18"/>
              </w:rPr>
              <w:t>9.1</w:t>
            </w:r>
          </w:p>
        </w:tc>
        <w:tc>
          <w:tcPr>
            <w:tcW w:w="4155" w:type="dxa"/>
            <w:vAlign w:val="center"/>
          </w:tcPr>
          <w:p w14:paraId="1CE7F943" w14:textId="77777777" w:rsidR="00126CB1" w:rsidRDefault="005D0D44">
            <w:pPr>
              <w:widowControl/>
              <w:adjustRightInd w:val="0"/>
              <w:snapToGrid w:val="0"/>
              <w:spacing w:line="219" w:lineRule="auto"/>
              <w:jc w:val="left"/>
              <w:rPr>
                <w:rFonts w:ascii="宋体" w:hAnsi="宋体" w:cs="宋体"/>
                <w:spacing w:val="-2"/>
                <w:sz w:val="18"/>
                <w:szCs w:val="18"/>
              </w:rPr>
            </w:pPr>
            <w:r>
              <w:rPr>
                <w:rFonts w:ascii="宋体" w:hAnsi="宋体" w:cs="宋体" w:hint="eastAsia"/>
                <w:spacing w:val="-2"/>
                <w:sz w:val="18"/>
                <w:szCs w:val="18"/>
              </w:rPr>
              <w:t>建议增加冷库温度测定相关方法。</w:t>
            </w:r>
          </w:p>
        </w:tc>
        <w:tc>
          <w:tcPr>
            <w:tcW w:w="2355" w:type="dxa"/>
            <w:vAlign w:val="center"/>
          </w:tcPr>
          <w:p w14:paraId="79DE6FE3" w14:textId="77777777" w:rsidR="00126CB1" w:rsidRDefault="005D0D44">
            <w:pPr>
              <w:widowControl/>
              <w:adjustRightInd w:val="0"/>
              <w:snapToGrid w:val="0"/>
              <w:spacing w:line="219" w:lineRule="auto"/>
              <w:jc w:val="left"/>
              <w:rPr>
                <w:rFonts w:ascii="Arial"/>
              </w:rPr>
            </w:pPr>
            <w:r>
              <w:rPr>
                <w:rFonts w:ascii="宋体" w:hAnsi="宋体" w:cs="宋体" w:hint="eastAsia"/>
                <w:spacing w:val="-2"/>
                <w:sz w:val="18"/>
                <w:szCs w:val="18"/>
              </w:rPr>
              <w:t>大同市云州区山自造农副产品购销专业合作社</w:t>
            </w:r>
          </w:p>
        </w:tc>
        <w:tc>
          <w:tcPr>
            <w:tcW w:w="1770" w:type="dxa"/>
            <w:vAlign w:val="center"/>
          </w:tcPr>
          <w:p w14:paraId="42D53787" w14:textId="77777777" w:rsidR="00126CB1" w:rsidRDefault="005D0D44">
            <w:pPr>
              <w:widowControl/>
              <w:adjustRightInd w:val="0"/>
              <w:snapToGrid w:val="0"/>
              <w:spacing w:line="219" w:lineRule="auto"/>
              <w:jc w:val="center"/>
              <w:rPr>
                <w:rFonts w:ascii="宋体" w:hAnsi="宋体" w:cs="宋体"/>
                <w:spacing w:val="-2"/>
                <w:sz w:val="18"/>
                <w:szCs w:val="18"/>
              </w:rPr>
            </w:pPr>
            <w:r>
              <w:rPr>
                <w:rFonts w:ascii="宋体" w:hAnsi="宋体" w:cs="宋体" w:hint="eastAsia"/>
                <w:spacing w:val="-2"/>
                <w:sz w:val="18"/>
                <w:szCs w:val="18"/>
              </w:rPr>
              <w:t>采纳</w:t>
            </w:r>
          </w:p>
        </w:tc>
        <w:tc>
          <w:tcPr>
            <w:tcW w:w="3794" w:type="dxa"/>
            <w:vAlign w:val="center"/>
          </w:tcPr>
          <w:p w14:paraId="05668264" w14:textId="77777777" w:rsidR="00126CB1" w:rsidRDefault="005D0D44">
            <w:pPr>
              <w:widowControl/>
              <w:adjustRightInd w:val="0"/>
              <w:snapToGrid w:val="0"/>
              <w:rPr>
                <w:rFonts w:ascii="宋体" w:hAnsi="宋体" w:cs="宋体"/>
                <w:spacing w:val="-2"/>
                <w:sz w:val="18"/>
                <w:szCs w:val="18"/>
              </w:rPr>
            </w:pPr>
            <w:r>
              <w:rPr>
                <w:rFonts w:ascii="宋体" w:hAnsi="宋体" w:cs="宋体" w:hint="eastAsia"/>
                <w:spacing w:val="-2"/>
                <w:sz w:val="18"/>
                <w:szCs w:val="18"/>
              </w:rPr>
              <w:t>增加了温度测定仪器及测定方法的相关要求。</w:t>
            </w:r>
          </w:p>
        </w:tc>
      </w:tr>
      <w:tr w:rsidR="00126CB1" w14:paraId="637000D9" w14:textId="77777777">
        <w:trPr>
          <w:trHeight w:val="1135"/>
        </w:trPr>
        <w:tc>
          <w:tcPr>
            <w:tcW w:w="13980" w:type="dxa"/>
            <w:gridSpan w:val="6"/>
          </w:tcPr>
          <w:p w14:paraId="39429FEF" w14:textId="77777777" w:rsidR="00126CB1" w:rsidRDefault="005D0D44">
            <w:pPr>
              <w:spacing w:line="220" w:lineRule="auto"/>
              <w:ind w:left="476"/>
              <w:rPr>
                <w:rFonts w:ascii="宋体" w:hAnsi="宋体" w:cs="宋体"/>
                <w:sz w:val="18"/>
                <w:szCs w:val="18"/>
              </w:rPr>
            </w:pPr>
            <w:r>
              <w:rPr>
                <w:rFonts w:ascii="宋体" w:hAnsi="宋体" w:cs="宋体"/>
                <w:spacing w:val="-5"/>
                <w:sz w:val="18"/>
                <w:szCs w:val="18"/>
              </w:rPr>
              <w:t>说</w:t>
            </w:r>
            <w:r>
              <w:rPr>
                <w:rFonts w:ascii="宋体" w:hAnsi="宋体" w:cs="宋体"/>
                <w:spacing w:val="-3"/>
                <w:sz w:val="18"/>
                <w:szCs w:val="18"/>
              </w:rPr>
              <w:t>明：</w:t>
            </w:r>
            <w:r>
              <w:rPr>
                <w:rFonts w:ascii="Calibri" w:eastAsia="Calibri" w:hAnsi="Calibri" w:cs="Calibri"/>
                <w:spacing w:val="-3"/>
                <w:sz w:val="18"/>
                <w:szCs w:val="18"/>
              </w:rPr>
              <w:t xml:space="preserve">1 </w:t>
            </w:r>
            <w:r>
              <w:rPr>
                <w:rFonts w:ascii="宋体" w:hAnsi="宋体" w:cs="宋体"/>
                <w:spacing w:val="-3"/>
                <w:sz w:val="18"/>
                <w:szCs w:val="18"/>
              </w:rPr>
              <w:t>、针对明确回复无意见的单位，请在“意见内容”中注明无意见，在“提出单位”中列出无意见单位的名称。</w:t>
            </w:r>
          </w:p>
          <w:p w14:paraId="433B16FC" w14:textId="77777777" w:rsidR="00126CB1" w:rsidRDefault="005D0D44">
            <w:pPr>
              <w:spacing w:line="318" w:lineRule="auto"/>
              <w:ind w:leftChars="482" w:left="1416" w:right="289" w:hangingChars="227" w:hanging="404"/>
              <w:rPr>
                <w:rFonts w:ascii="宋体" w:hAnsi="宋体" w:cs="宋体"/>
                <w:sz w:val="18"/>
                <w:szCs w:val="18"/>
              </w:rPr>
            </w:pPr>
            <w:r>
              <w:rPr>
                <w:rFonts w:ascii="Calibri" w:eastAsia="Calibri" w:hAnsi="Calibri" w:cs="Calibri"/>
                <w:spacing w:val="-1"/>
                <w:sz w:val="18"/>
                <w:szCs w:val="18"/>
              </w:rPr>
              <w:t xml:space="preserve">2 </w:t>
            </w:r>
            <w:r>
              <w:rPr>
                <w:rFonts w:ascii="宋体" w:hAnsi="宋体" w:cs="宋体"/>
                <w:spacing w:val="-1"/>
                <w:sz w:val="18"/>
                <w:szCs w:val="18"/>
              </w:rPr>
              <w:t>、发送征求意见稿单位数</w:t>
            </w:r>
            <w:r>
              <w:rPr>
                <w:rFonts w:ascii="宋体" w:hAnsi="宋体" w:cs="宋体"/>
                <w:spacing w:val="-1"/>
                <w:sz w:val="18"/>
                <w:szCs w:val="18"/>
                <w:u w:val="single"/>
              </w:rPr>
              <w:t xml:space="preserve">   </w:t>
            </w:r>
            <w:r>
              <w:rPr>
                <w:rFonts w:ascii="宋体" w:hAnsi="宋体" w:cs="宋体" w:hint="eastAsia"/>
                <w:spacing w:val="-1"/>
                <w:sz w:val="18"/>
                <w:szCs w:val="18"/>
                <w:u w:val="single"/>
              </w:rPr>
              <w:t>9</w:t>
            </w:r>
            <w:r>
              <w:rPr>
                <w:rFonts w:ascii="宋体" w:hAnsi="宋体" w:cs="宋体"/>
                <w:spacing w:val="-1"/>
                <w:sz w:val="18"/>
                <w:szCs w:val="18"/>
                <w:u w:val="single"/>
              </w:rPr>
              <w:t xml:space="preserve">   </w:t>
            </w:r>
            <w:r>
              <w:rPr>
                <w:rFonts w:ascii="宋体" w:hAnsi="宋体" w:cs="宋体"/>
                <w:spacing w:val="-1"/>
                <w:sz w:val="18"/>
                <w:szCs w:val="18"/>
              </w:rPr>
              <w:t>个；回到征求意见稿回函的单位数</w:t>
            </w:r>
            <w:r>
              <w:rPr>
                <w:rFonts w:ascii="宋体" w:hAnsi="宋体" w:cs="宋体"/>
                <w:spacing w:val="-1"/>
                <w:sz w:val="18"/>
                <w:szCs w:val="18"/>
                <w:u w:val="single"/>
              </w:rPr>
              <w:t xml:space="preserve">   </w:t>
            </w:r>
            <w:r>
              <w:rPr>
                <w:rFonts w:ascii="宋体" w:hAnsi="宋体" w:cs="宋体" w:hint="eastAsia"/>
                <w:spacing w:val="-1"/>
                <w:sz w:val="18"/>
                <w:szCs w:val="18"/>
                <w:u w:val="single"/>
              </w:rPr>
              <w:t>6</w:t>
            </w:r>
            <w:r>
              <w:rPr>
                <w:rFonts w:ascii="宋体" w:hAnsi="宋体" w:cs="宋体"/>
                <w:spacing w:val="-1"/>
                <w:sz w:val="18"/>
                <w:szCs w:val="18"/>
                <w:u w:val="single"/>
              </w:rPr>
              <w:t xml:space="preserve">  </w:t>
            </w:r>
            <w:r>
              <w:rPr>
                <w:rFonts w:ascii="宋体" w:hAnsi="宋体" w:cs="宋体"/>
                <w:spacing w:val="-1"/>
                <w:sz w:val="18"/>
                <w:szCs w:val="18"/>
              </w:rPr>
              <w:t>个；收到征求意见稿</w:t>
            </w:r>
            <w:r>
              <w:rPr>
                <w:rFonts w:ascii="宋体" w:hAnsi="宋体" w:cs="宋体"/>
                <w:sz w:val="18"/>
                <w:szCs w:val="18"/>
              </w:rPr>
              <w:t>并提出意见的单位数</w:t>
            </w:r>
            <w:r>
              <w:rPr>
                <w:rFonts w:ascii="宋体" w:hAnsi="宋体" w:cs="宋体"/>
                <w:sz w:val="18"/>
                <w:szCs w:val="18"/>
                <w:u w:val="single"/>
              </w:rPr>
              <w:t xml:space="preserve">  </w:t>
            </w:r>
            <w:r>
              <w:rPr>
                <w:rFonts w:ascii="宋体" w:hAnsi="宋体" w:cs="宋体" w:hint="eastAsia"/>
                <w:sz w:val="18"/>
                <w:szCs w:val="18"/>
                <w:u w:val="single"/>
              </w:rPr>
              <w:t>6</w:t>
            </w:r>
            <w:r>
              <w:rPr>
                <w:rFonts w:ascii="宋体" w:hAnsi="宋体" w:cs="宋体"/>
                <w:sz w:val="18"/>
                <w:szCs w:val="18"/>
                <w:u w:val="single"/>
              </w:rPr>
              <w:t xml:space="preserve">  </w:t>
            </w:r>
            <w:r>
              <w:rPr>
                <w:rFonts w:ascii="宋体" w:hAnsi="宋体" w:cs="宋体"/>
                <w:sz w:val="18"/>
                <w:szCs w:val="18"/>
              </w:rPr>
              <w:t>个；没有回函的单位数</w:t>
            </w:r>
            <w:r>
              <w:rPr>
                <w:rFonts w:ascii="宋体" w:hAnsi="宋体" w:cs="宋体" w:hint="eastAsia"/>
                <w:sz w:val="18"/>
                <w:szCs w:val="18"/>
              </w:rPr>
              <w:t xml:space="preserve"> </w:t>
            </w:r>
            <w:r>
              <w:rPr>
                <w:rFonts w:ascii="宋体" w:hAnsi="宋体" w:cs="宋体"/>
                <w:sz w:val="18"/>
                <w:szCs w:val="18"/>
                <w:u w:val="single"/>
              </w:rPr>
              <w:t xml:space="preserve"> </w:t>
            </w:r>
            <w:r>
              <w:rPr>
                <w:rFonts w:ascii="宋体" w:hAnsi="宋体" w:cs="宋体" w:hint="eastAsia"/>
                <w:sz w:val="18"/>
                <w:szCs w:val="18"/>
                <w:u w:val="single"/>
              </w:rPr>
              <w:t xml:space="preserve">3 </w:t>
            </w:r>
            <w:r>
              <w:rPr>
                <w:rFonts w:ascii="宋体" w:hAnsi="宋体" w:cs="宋体"/>
                <w:sz w:val="18"/>
                <w:szCs w:val="18"/>
                <w:u w:val="single"/>
              </w:rPr>
              <w:t xml:space="preserve"> </w:t>
            </w:r>
            <w:r>
              <w:rPr>
                <w:rFonts w:ascii="宋体" w:hAnsi="宋体" w:cs="宋体"/>
                <w:sz w:val="18"/>
                <w:szCs w:val="18"/>
              </w:rPr>
              <w:t>个；共收</w:t>
            </w:r>
            <w:r>
              <w:rPr>
                <w:rFonts w:ascii="宋体" w:hAnsi="宋体" w:cs="宋体"/>
                <w:spacing w:val="-4"/>
                <w:sz w:val="18"/>
                <w:szCs w:val="18"/>
              </w:rPr>
              <w:t>到</w:t>
            </w:r>
            <w:r>
              <w:rPr>
                <w:rFonts w:ascii="宋体" w:hAnsi="宋体" w:cs="宋体"/>
                <w:spacing w:val="-4"/>
                <w:sz w:val="18"/>
                <w:szCs w:val="18"/>
                <w:u w:val="single"/>
              </w:rPr>
              <w:t xml:space="preserve"> </w:t>
            </w:r>
            <w:r>
              <w:rPr>
                <w:rFonts w:ascii="宋体" w:hAnsi="宋体" w:cs="宋体"/>
                <w:spacing w:val="-2"/>
                <w:sz w:val="18"/>
                <w:szCs w:val="18"/>
                <w:u w:val="single"/>
              </w:rPr>
              <w:t xml:space="preserve">  </w:t>
            </w:r>
            <w:r>
              <w:rPr>
                <w:rFonts w:ascii="宋体" w:hAnsi="宋体" w:cs="宋体" w:hint="eastAsia"/>
                <w:spacing w:val="-2"/>
                <w:sz w:val="18"/>
                <w:szCs w:val="18"/>
                <w:u w:val="single"/>
              </w:rPr>
              <w:t>9</w:t>
            </w:r>
            <w:r>
              <w:rPr>
                <w:rFonts w:ascii="宋体" w:hAnsi="宋体" w:cs="宋体"/>
                <w:spacing w:val="-2"/>
                <w:sz w:val="18"/>
                <w:szCs w:val="18"/>
                <w:u w:val="single"/>
              </w:rPr>
              <w:t xml:space="preserve">  </w:t>
            </w:r>
            <w:r>
              <w:rPr>
                <w:rFonts w:ascii="宋体" w:hAnsi="宋体" w:cs="宋体"/>
                <w:spacing w:val="-2"/>
                <w:sz w:val="18"/>
                <w:szCs w:val="18"/>
              </w:rPr>
              <w:t>条意见，采纳</w:t>
            </w:r>
            <w:r>
              <w:rPr>
                <w:rFonts w:ascii="宋体" w:hAnsi="宋体" w:cs="宋体"/>
                <w:spacing w:val="-2"/>
                <w:sz w:val="18"/>
                <w:szCs w:val="18"/>
                <w:u w:val="single"/>
              </w:rPr>
              <w:t xml:space="preserve">   </w:t>
            </w:r>
            <w:r>
              <w:rPr>
                <w:rFonts w:ascii="宋体" w:hAnsi="宋体" w:cs="宋体" w:hint="eastAsia"/>
                <w:spacing w:val="-2"/>
                <w:sz w:val="18"/>
                <w:szCs w:val="18"/>
                <w:u w:val="single"/>
              </w:rPr>
              <w:t>8</w:t>
            </w:r>
            <w:r>
              <w:rPr>
                <w:rFonts w:ascii="宋体" w:hAnsi="宋体" w:cs="宋体"/>
                <w:spacing w:val="-2"/>
                <w:sz w:val="18"/>
                <w:szCs w:val="18"/>
                <w:u w:val="single"/>
              </w:rPr>
              <w:t xml:space="preserve">   </w:t>
            </w:r>
            <w:r>
              <w:rPr>
                <w:rFonts w:ascii="宋体" w:hAnsi="宋体" w:cs="宋体"/>
                <w:spacing w:val="-2"/>
                <w:sz w:val="18"/>
                <w:szCs w:val="18"/>
              </w:rPr>
              <w:t>条意见，部分采纳</w:t>
            </w:r>
            <w:r>
              <w:rPr>
                <w:rFonts w:ascii="宋体" w:hAnsi="宋体" w:cs="宋体"/>
                <w:spacing w:val="-2"/>
                <w:sz w:val="18"/>
                <w:szCs w:val="18"/>
                <w:u w:val="single"/>
              </w:rPr>
              <w:t xml:space="preserve">   </w:t>
            </w:r>
            <w:r>
              <w:rPr>
                <w:rFonts w:ascii="宋体" w:hAnsi="宋体" w:cs="宋体" w:hint="eastAsia"/>
                <w:spacing w:val="-2"/>
                <w:sz w:val="18"/>
                <w:szCs w:val="18"/>
                <w:u w:val="single"/>
              </w:rPr>
              <w:t>1</w:t>
            </w:r>
            <w:r>
              <w:rPr>
                <w:rFonts w:ascii="宋体" w:hAnsi="宋体" w:cs="宋体"/>
                <w:spacing w:val="-2"/>
                <w:sz w:val="18"/>
                <w:szCs w:val="18"/>
                <w:u w:val="single"/>
              </w:rPr>
              <w:t xml:space="preserve">   </w:t>
            </w:r>
            <w:r>
              <w:rPr>
                <w:rFonts w:ascii="宋体" w:hAnsi="宋体" w:cs="宋体"/>
                <w:spacing w:val="-2"/>
                <w:sz w:val="18"/>
                <w:szCs w:val="18"/>
              </w:rPr>
              <w:t>条意见，未采纳</w:t>
            </w:r>
            <w:r>
              <w:rPr>
                <w:rFonts w:ascii="宋体" w:hAnsi="宋体" w:cs="宋体"/>
                <w:spacing w:val="-2"/>
                <w:sz w:val="18"/>
                <w:szCs w:val="18"/>
                <w:u w:val="single"/>
              </w:rPr>
              <w:t xml:space="preserve">   </w:t>
            </w:r>
            <w:r>
              <w:rPr>
                <w:rFonts w:ascii="宋体" w:hAnsi="宋体" w:cs="宋体" w:hint="eastAsia"/>
                <w:spacing w:val="-2"/>
                <w:sz w:val="18"/>
                <w:szCs w:val="18"/>
                <w:u w:val="single"/>
              </w:rPr>
              <w:t>0</w:t>
            </w:r>
            <w:r>
              <w:rPr>
                <w:rFonts w:ascii="宋体" w:hAnsi="宋体" w:cs="宋体"/>
                <w:spacing w:val="-2"/>
                <w:sz w:val="18"/>
                <w:szCs w:val="18"/>
                <w:u w:val="single"/>
              </w:rPr>
              <w:t xml:space="preserve">  </w:t>
            </w:r>
            <w:r>
              <w:rPr>
                <w:rFonts w:ascii="宋体" w:hAnsi="宋体" w:cs="宋体"/>
                <w:spacing w:val="-2"/>
                <w:sz w:val="18"/>
                <w:szCs w:val="18"/>
              </w:rPr>
              <w:t xml:space="preserve"> 条意见。</w:t>
            </w:r>
          </w:p>
        </w:tc>
      </w:tr>
    </w:tbl>
    <w:p w14:paraId="1AADC646" w14:textId="77777777" w:rsidR="00126CB1" w:rsidRDefault="00126CB1">
      <w:pPr>
        <w:jc w:val="center"/>
        <w:rPr>
          <w:rFonts w:ascii="仿宋_GB2312" w:eastAsia="仿宋_GB2312" w:hAnsi="宋体"/>
          <w:sz w:val="24"/>
        </w:rPr>
      </w:pPr>
    </w:p>
    <w:sectPr w:rsidR="00126CB1">
      <w:pgSz w:w="16838" w:h="11906" w:orient="landscape"/>
      <w:pgMar w:top="1406" w:right="1440" w:bottom="1179"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26C61" w14:textId="77777777" w:rsidR="001008B9" w:rsidRDefault="005D0D44">
      <w:r>
        <w:separator/>
      </w:r>
    </w:p>
  </w:endnote>
  <w:endnote w:type="continuationSeparator" w:id="0">
    <w:p w14:paraId="665258CC" w14:textId="77777777" w:rsidR="001008B9" w:rsidRDefault="005D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default"/>
    <w:sig w:usb0="00008003"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1"/>
    <w:family w:val="modern"/>
    <w:pitch w:val="default"/>
    <w:sig w:usb0="E0002AFF" w:usb1="C0007843" w:usb2="00000009" w:usb3="00000000" w:csb0="400001FF" w:csb1="FFFF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02DD" w14:textId="59F58577" w:rsidR="00126CB1" w:rsidRDefault="005D0D44">
    <w:pPr>
      <w:pStyle w:val="ad"/>
      <w:jc w:val="center"/>
    </w:pPr>
    <w:r>
      <w:fldChar w:fldCharType="begin"/>
    </w:r>
    <w:r>
      <w:instrText>PAGE   \* MERGEFORMAT</w:instrText>
    </w:r>
    <w:r>
      <w:fldChar w:fldCharType="separate"/>
    </w:r>
    <w:r w:rsidR="00865F92" w:rsidRPr="00865F92">
      <w:rPr>
        <w:noProof/>
        <w:lang w:val="zh-CN"/>
      </w:rPr>
      <w:t>8</w:t>
    </w:r>
    <w:r>
      <w:fldChar w:fldCharType="end"/>
    </w:r>
  </w:p>
  <w:p w14:paraId="4A1B7D8E" w14:textId="77777777" w:rsidR="00126CB1" w:rsidRDefault="00126CB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71E91" w14:textId="77777777" w:rsidR="001008B9" w:rsidRDefault="005D0D44">
      <w:r>
        <w:separator/>
      </w:r>
    </w:p>
  </w:footnote>
  <w:footnote w:type="continuationSeparator" w:id="0">
    <w:p w14:paraId="122485C9" w14:textId="77777777" w:rsidR="001008B9" w:rsidRDefault="005D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E3A2A8"/>
    <w:multiLevelType w:val="singleLevel"/>
    <w:tmpl w:val="B4E3A2A8"/>
    <w:lvl w:ilvl="0">
      <w:start w:val="2"/>
      <w:numFmt w:val="decimal"/>
      <w:suff w:val="nothing"/>
      <w:lvlText w:val="（%1）"/>
      <w:lvlJc w:val="left"/>
    </w:lvl>
  </w:abstractNum>
  <w:abstractNum w:abstractNumId="1" w15:restartNumberingAfterBreak="0">
    <w:nsid w:val="BBC6ED50"/>
    <w:multiLevelType w:val="singleLevel"/>
    <w:tmpl w:val="BBC6ED50"/>
    <w:lvl w:ilvl="0">
      <w:start w:val="1"/>
      <w:numFmt w:val="decimal"/>
      <w:suff w:val="nothing"/>
      <w:lvlText w:val="%1-"/>
      <w:lvlJc w:val="left"/>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36E38F7"/>
    <w:multiLevelType w:val="hybridMultilevel"/>
    <w:tmpl w:val="97B2EF5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48DF44E2"/>
    <w:multiLevelType w:val="hybridMultilevel"/>
    <w:tmpl w:val="7F00C7D0"/>
    <w:lvl w:ilvl="0" w:tplc="65D05CD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6" w15:restartNumberingAfterBreak="0">
    <w:nsid w:val="74491A54"/>
    <w:multiLevelType w:val="singleLevel"/>
    <w:tmpl w:val="7D3C0A52"/>
    <w:lvl w:ilvl="0">
      <w:start w:val="1"/>
      <w:numFmt w:val="decimal"/>
      <w:lvlText w:val="（%1）"/>
      <w:lvlJc w:val="left"/>
      <w:pPr>
        <w:ind w:left="1272" w:hanging="420"/>
      </w:pPr>
      <w:rPr>
        <w:rFonts w:hint="default"/>
      </w:rPr>
    </w:lvl>
  </w:abstractNum>
  <w:num w:numId="1">
    <w:abstractNumId w:val="2"/>
  </w:num>
  <w:num w:numId="2">
    <w:abstractNumId w:val="5"/>
  </w:num>
  <w:num w:numId="3">
    <w:abstractNumId w:val="6"/>
  </w:num>
  <w:num w:numId="4">
    <w:abstractNumId w:val="0"/>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NotTrackMoves/>
  <w:defaultTabStop w:val="420"/>
  <w:drawingGridHorizontalSpacing w:val="105"/>
  <w:drawingGridVerticalSpacing w:val="159"/>
  <w:noPunctuationKerning/>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5ZWI2OGEwZTQwZTU1ODc4MWVmNjY1MmE0OWQ5Mjk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08B9"/>
    <w:rsid w:val="00104D9E"/>
    <w:rsid w:val="001079E4"/>
    <w:rsid w:val="00114B28"/>
    <w:rsid w:val="00126CB1"/>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96ACF"/>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96082"/>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D0D44"/>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65F92"/>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36E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8776A"/>
    <w:rsid w:val="00F907D1"/>
    <w:rsid w:val="00F926B8"/>
    <w:rsid w:val="00F9426F"/>
    <w:rsid w:val="00F95F55"/>
    <w:rsid w:val="00F968DC"/>
    <w:rsid w:val="00FA2E27"/>
    <w:rsid w:val="00FA4128"/>
    <w:rsid w:val="00FA6158"/>
    <w:rsid w:val="00FA63F4"/>
    <w:rsid w:val="00FB15E3"/>
    <w:rsid w:val="00FB79BD"/>
    <w:rsid w:val="00FC0411"/>
    <w:rsid w:val="00FC754C"/>
    <w:rsid w:val="00FD0304"/>
    <w:rsid w:val="00FD3CE4"/>
    <w:rsid w:val="00FD684B"/>
    <w:rsid w:val="015B4A06"/>
    <w:rsid w:val="08ED0B29"/>
    <w:rsid w:val="0ACB5072"/>
    <w:rsid w:val="0F9E7EA2"/>
    <w:rsid w:val="102D0BD5"/>
    <w:rsid w:val="10944070"/>
    <w:rsid w:val="10961B97"/>
    <w:rsid w:val="126D1E74"/>
    <w:rsid w:val="13675B6C"/>
    <w:rsid w:val="156B0DBD"/>
    <w:rsid w:val="17705AC8"/>
    <w:rsid w:val="18CD0838"/>
    <w:rsid w:val="1AFC7763"/>
    <w:rsid w:val="1D326C77"/>
    <w:rsid w:val="1EA70AFF"/>
    <w:rsid w:val="1EB378EC"/>
    <w:rsid w:val="1EBE453C"/>
    <w:rsid w:val="1F5F2643"/>
    <w:rsid w:val="245F13B9"/>
    <w:rsid w:val="29DE3D0C"/>
    <w:rsid w:val="2D2E6BD5"/>
    <w:rsid w:val="2D7D6AA7"/>
    <w:rsid w:val="2DE81100"/>
    <w:rsid w:val="2ED0406E"/>
    <w:rsid w:val="30FD4EC2"/>
    <w:rsid w:val="35202B88"/>
    <w:rsid w:val="38303028"/>
    <w:rsid w:val="3C900539"/>
    <w:rsid w:val="3D25D500"/>
    <w:rsid w:val="3EEF98DD"/>
    <w:rsid w:val="3F9FD22F"/>
    <w:rsid w:val="418B0B28"/>
    <w:rsid w:val="43F44339"/>
    <w:rsid w:val="44C2490B"/>
    <w:rsid w:val="470749E1"/>
    <w:rsid w:val="479E3034"/>
    <w:rsid w:val="48027536"/>
    <w:rsid w:val="48E42798"/>
    <w:rsid w:val="49C84105"/>
    <w:rsid w:val="4A730277"/>
    <w:rsid w:val="4F7B247E"/>
    <w:rsid w:val="4FCD6243"/>
    <w:rsid w:val="4FCF431E"/>
    <w:rsid w:val="52974D1F"/>
    <w:rsid w:val="54843F60"/>
    <w:rsid w:val="57D94567"/>
    <w:rsid w:val="58EA0140"/>
    <w:rsid w:val="5B615ECA"/>
    <w:rsid w:val="5B831794"/>
    <w:rsid w:val="5CFF1606"/>
    <w:rsid w:val="5D5C2089"/>
    <w:rsid w:val="5DFFCE9C"/>
    <w:rsid w:val="5E246E04"/>
    <w:rsid w:val="5FB81DCD"/>
    <w:rsid w:val="605E50CE"/>
    <w:rsid w:val="63BD8BA4"/>
    <w:rsid w:val="64300B2F"/>
    <w:rsid w:val="65580EA4"/>
    <w:rsid w:val="65F51AF6"/>
    <w:rsid w:val="67105DD9"/>
    <w:rsid w:val="671D552C"/>
    <w:rsid w:val="69E836AE"/>
    <w:rsid w:val="69FE5B47"/>
    <w:rsid w:val="6BFEE3C0"/>
    <w:rsid w:val="6BFF0146"/>
    <w:rsid w:val="6E44552C"/>
    <w:rsid w:val="6EFD90F7"/>
    <w:rsid w:val="6F4354CE"/>
    <w:rsid w:val="6F84593B"/>
    <w:rsid w:val="6FD46C64"/>
    <w:rsid w:val="7040659E"/>
    <w:rsid w:val="72DE18B7"/>
    <w:rsid w:val="72E66F89"/>
    <w:rsid w:val="7329008F"/>
    <w:rsid w:val="740234C8"/>
    <w:rsid w:val="773F135E"/>
    <w:rsid w:val="77C6AB6B"/>
    <w:rsid w:val="77FF4F98"/>
    <w:rsid w:val="79E50853"/>
    <w:rsid w:val="79FF0142"/>
    <w:rsid w:val="7BFB120F"/>
    <w:rsid w:val="7E01111B"/>
    <w:rsid w:val="7E1A78D3"/>
    <w:rsid w:val="7EB81A9C"/>
    <w:rsid w:val="7ED72A0A"/>
    <w:rsid w:val="7EEB54B7"/>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229E387"/>
  <w15:docId w15:val="{E456C9FA-C927-46B9-B207-1D73D40C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rPr>
      <w:kern w:val="2"/>
      <w:sz w:val="21"/>
      <w:szCs w:val="24"/>
    </w:rPr>
  </w:style>
  <w:style w:type="paragraph" w:styleId="1">
    <w:name w:val="heading 1"/>
    <w:basedOn w:val="a2"/>
    <w:next w:val="a2"/>
    <w:link w:val="10"/>
    <w:autoRedefine/>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autoRedefine/>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caption"/>
    <w:basedOn w:val="a2"/>
    <w:next w:val="a2"/>
    <w:autoRedefine/>
    <w:uiPriority w:val="99"/>
    <w:qFormat/>
    <w:pPr>
      <w:suppressLineNumbers/>
      <w:suppressAutoHyphens/>
      <w:spacing w:before="120" w:after="120"/>
    </w:pPr>
    <w:rPr>
      <w:rFonts w:cs="Mangal"/>
      <w:i/>
      <w:iCs/>
      <w:kern w:val="21"/>
      <w:sz w:val="24"/>
      <w:lang w:eastAsia="ar-SA"/>
    </w:rPr>
  </w:style>
  <w:style w:type="paragraph" w:styleId="a7">
    <w:name w:val="Body Text"/>
    <w:basedOn w:val="a2"/>
    <w:link w:val="a8"/>
    <w:autoRedefine/>
    <w:qFormat/>
    <w:pPr>
      <w:spacing w:after="120"/>
    </w:pPr>
  </w:style>
  <w:style w:type="paragraph" w:styleId="a9">
    <w:name w:val="Date"/>
    <w:basedOn w:val="a2"/>
    <w:next w:val="a2"/>
    <w:link w:val="aa"/>
    <w:autoRedefine/>
    <w:uiPriority w:val="99"/>
    <w:semiHidden/>
    <w:unhideWhenUsed/>
    <w:qFormat/>
    <w:pPr>
      <w:ind w:leftChars="2500" w:left="100"/>
    </w:pPr>
  </w:style>
  <w:style w:type="paragraph" w:styleId="ab">
    <w:name w:val="Balloon Text"/>
    <w:basedOn w:val="a2"/>
    <w:link w:val="ac"/>
    <w:autoRedefine/>
    <w:uiPriority w:val="99"/>
    <w:semiHidden/>
    <w:unhideWhenUsed/>
    <w:qFormat/>
    <w:rPr>
      <w:sz w:val="18"/>
      <w:szCs w:val="18"/>
    </w:rPr>
  </w:style>
  <w:style w:type="paragraph" w:styleId="ad">
    <w:name w:val="footer"/>
    <w:basedOn w:val="a2"/>
    <w:link w:val="ae"/>
    <w:autoRedefine/>
    <w:uiPriority w:val="99"/>
    <w:unhideWhenUsed/>
    <w:qFormat/>
    <w:pPr>
      <w:tabs>
        <w:tab w:val="center" w:pos="4153"/>
        <w:tab w:val="right" w:pos="8306"/>
      </w:tabs>
      <w:snapToGrid w:val="0"/>
      <w:jc w:val="left"/>
    </w:pPr>
    <w:rPr>
      <w:sz w:val="18"/>
      <w:szCs w:val="18"/>
    </w:rPr>
  </w:style>
  <w:style w:type="paragraph" w:styleId="af">
    <w:name w:val="header"/>
    <w:basedOn w:val="a2"/>
    <w:link w:val="af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1">
    <w:name w:val="Normal (Web)"/>
    <w:basedOn w:val="a2"/>
    <w:uiPriority w:val="99"/>
    <w:unhideWhenUsed/>
    <w:qFormat/>
    <w:pPr>
      <w:spacing w:before="100" w:beforeAutospacing="1" w:after="100" w:afterAutospacing="1"/>
    </w:pPr>
    <w:rPr>
      <w:rFonts w:ascii="宋体" w:eastAsia="新宋体" w:hAnsi="宋体" w:cs="宋体"/>
      <w:sz w:val="24"/>
    </w:rPr>
  </w:style>
  <w:style w:type="table" w:styleId="af2">
    <w:name w:val="Table Grid"/>
    <w:basedOn w:val="a4"/>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99"/>
    <w:qFormat/>
    <w:rPr>
      <w:rFonts w:cs="Times New Roman"/>
      <w:b/>
    </w:rPr>
  </w:style>
  <w:style w:type="character" w:styleId="af4">
    <w:name w:val="page number"/>
    <w:basedOn w:val="a3"/>
    <w:autoRedefine/>
    <w:semiHidden/>
    <w:qFormat/>
  </w:style>
  <w:style w:type="character" w:customStyle="1" w:styleId="10">
    <w:name w:val="标题 1 字符"/>
    <w:link w:val="1"/>
    <w:autoRedefine/>
    <w:uiPriority w:val="99"/>
    <w:qFormat/>
    <w:locked/>
    <w:rPr>
      <w:rFonts w:cs="Times New Roman"/>
      <w:b/>
      <w:kern w:val="1"/>
      <w:sz w:val="44"/>
      <w:lang w:eastAsia="ar-SA" w:bidi="ar-SA"/>
    </w:rPr>
  </w:style>
  <w:style w:type="character" w:customStyle="1" w:styleId="30">
    <w:name w:val="标题 3 字符"/>
    <w:link w:val="3"/>
    <w:autoRedefine/>
    <w:uiPriority w:val="99"/>
    <w:qFormat/>
    <w:locked/>
    <w:rPr>
      <w:rFonts w:cs="Times New Roman"/>
      <w:b/>
      <w:kern w:val="21"/>
      <w:sz w:val="32"/>
      <w:lang w:eastAsia="ar-SA" w:bidi="ar-SA"/>
    </w:rPr>
  </w:style>
  <w:style w:type="paragraph" w:styleId="af5">
    <w:name w:val="List Paragraph"/>
    <w:basedOn w:val="a2"/>
    <w:autoRedefine/>
    <w:uiPriority w:val="99"/>
    <w:qFormat/>
    <w:pPr>
      <w:suppressAutoHyphens/>
      <w:ind w:firstLineChars="200" w:firstLine="420"/>
    </w:pPr>
    <w:rPr>
      <w:kern w:val="21"/>
      <w:lang w:eastAsia="ar-SA"/>
    </w:rPr>
  </w:style>
  <w:style w:type="paragraph" w:customStyle="1" w:styleId="af6">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6"/>
    <w:autoRedefine/>
    <w:qFormat/>
    <w:locked/>
    <w:rPr>
      <w:rFonts w:ascii="宋体" w:cs="Times New Roman"/>
      <w:sz w:val="21"/>
      <w:lang w:val="en-US" w:eastAsia="zh-CN" w:bidi="ar-SA"/>
    </w:rPr>
  </w:style>
  <w:style w:type="character" w:customStyle="1" w:styleId="af0">
    <w:name w:val="页眉 字符"/>
    <w:link w:val="af"/>
    <w:autoRedefine/>
    <w:uiPriority w:val="99"/>
    <w:qFormat/>
    <w:rPr>
      <w:sz w:val="18"/>
      <w:szCs w:val="18"/>
    </w:rPr>
  </w:style>
  <w:style w:type="character" w:customStyle="1" w:styleId="ae">
    <w:name w:val="页脚 字符"/>
    <w:link w:val="ad"/>
    <w:autoRedefine/>
    <w:uiPriority w:val="99"/>
    <w:qFormat/>
    <w:rPr>
      <w:sz w:val="18"/>
      <w:szCs w:val="18"/>
    </w:rPr>
  </w:style>
  <w:style w:type="character" w:customStyle="1" w:styleId="ac">
    <w:name w:val="批注框文本 字符"/>
    <w:link w:val="ab"/>
    <w:autoRedefine/>
    <w:uiPriority w:val="99"/>
    <w:semiHidden/>
    <w:qFormat/>
    <w:rPr>
      <w:kern w:val="2"/>
      <w:sz w:val="18"/>
      <w:szCs w:val="18"/>
    </w:rPr>
  </w:style>
  <w:style w:type="table" w:customStyle="1" w:styleId="11">
    <w:name w:val="浅色底纹1"/>
    <w:basedOn w:val="a4"/>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a">
    <w:name w:val="日期 字符"/>
    <w:basedOn w:val="a3"/>
    <w:link w:val="a9"/>
    <w:autoRedefine/>
    <w:uiPriority w:val="99"/>
    <w:semiHidden/>
    <w:qFormat/>
    <w:rPr>
      <w:kern w:val="2"/>
      <w:sz w:val="21"/>
      <w:szCs w:val="24"/>
    </w:rPr>
  </w:style>
  <w:style w:type="character" w:customStyle="1" w:styleId="a8">
    <w:name w:val="正文文本 字符"/>
    <w:basedOn w:val="a3"/>
    <w:link w:val="a7"/>
    <w:autoRedefine/>
    <w:qFormat/>
    <w:rPr>
      <w:kern w:val="2"/>
      <w:sz w:val="21"/>
      <w:szCs w:val="24"/>
    </w:rPr>
  </w:style>
  <w:style w:type="paragraph" w:customStyle="1" w:styleId="af7">
    <w:name w:val="标准文件_段"/>
    <w:link w:val="Char0"/>
    <w:autoRedefine/>
    <w:qFormat/>
    <w:pPr>
      <w:autoSpaceDE w:val="0"/>
      <w:autoSpaceDN w:val="0"/>
      <w:ind w:firstLineChars="200" w:firstLine="200"/>
      <w:jc w:val="both"/>
    </w:pPr>
    <w:rPr>
      <w:rFonts w:ascii="宋体"/>
      <w:sz w:val="21"/>
    </w:rPr>
  </w:style>
  <w:style w:type="character" w:customStyle="1" w:styleId="Char0">
    <w:name w:val="标准文件_段 Char"/>
    <w:link w:val="af7"/>
    <w:autoRedefine/>
    <w:qFormat/>
    <w:rPr>
      <w:rFonts w:ascii="宋体"/>
      <w:sz w:val="21"/>
    </w:rPr>
  </w:style>
  <w:style w:type="paragraph" w:customStyle="1" w:styleId="a">
    <w:name w:val="一级条标题"/>
    <w:next w:val="af6"/>
    <w:autoRedefine/>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6"/>
    <w:autoRedefine/>
    <w:qFormat/>
    <w:pPr>
      <w:numPr>
        <w:ilvl w:val="2"/>
      </w:numPr>
      <w:spacing w:before="50" w:after="50"/>
      <w:outlineLvl w:val="3"/>
    </w:pPr>
  </w:style>
  <w:style w:type="paragraph" w:customStyle="1" w:styleId="a1">
    <w:name w:val="附录表标题"/>
    <w:basedOn w:val="a2"/>
    <w:next w:val="af6"/>
    <w:autoRedefine/>
    <w:qFormat/>
    <w:pPr>
      <w:numPr>
        <w:ilvl w:val="1"/>
        <w:numId w:val="2"/>
      </w:numPr>
      <w:tabs>
        <w:tab w:val="left" w:pos="180"/>
      </w:tabs>
      <w:spacing w:beforeLines="50" w:before="50" w:afterLines="50" w:after="50"/>
      <w:ind w:left="0" w:firstLine="0"/>
      <w:jc w:val="center"/>
    </w:pPr>
    <w:rPr>
      <w:rFonts w:ascii="黑体" w:eastAsia="黑体"/>
      <w:szCs w:val="21"/>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ListParagraph1">
    <w:name w:val="List Paragraph1"/>
    <w:basedOn w:val="a2"/>
    <w:autoRedefine/>
    <w:qFormat/>
    <w:pPr>
      <w:ind w:firstLine="420"/>
    </w:pPr>
    <w:rPr>
      <w:rFonts w:ascii="Calibri"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10</Pages>
  <Words>1058</Words>
  <Characters>6031</Characters>
  <Application>Microsoft Office Word</Application>
  <DocSecurity>0</DocSecurity>
  <Lines>50</Lines>
  <Paragraphs>14</Paragraphs>
  <ScaleCrop>false</ScaleCrop>
  <Company>Lenovo</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543</cp:revision>
  <cp:lastPrinted>2024-08-02T03:47:00Z</cp:lastPrinted>
  <dcterms:created xsi:type="dcterms:W3CDTF">2016-02-24T23:17:00Z</dcterms:created>
  <dcterms:modified xsi:type="dcterms:W3CDTF">2024-08-02T03:49:00Z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CCEC03A453714A0C9683D52C3717B68A_13</vt:lpwstr>
  </property>
</Properties>
</file>